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8DCF5B" w14:textId="36BCCBDB" w:rsidR="001A660D" w:rsidRPr="00F26949" w:rsidRDefault="001A660D" w:rsidP="001A660D">
      <w:pPr>
        <w:spacing w:after="0" w:line="360" w:lineRule="auto"/>
        <w:jc w:val="center"/>
        <w:rPr>
          <w:rFonts w:ascii="Times New Roman" w:eastAsia="Times New Roman" w:hAnsi="Times New Roman" w:cs="Times New Roman"/>
          <w:sz w:val="40"/>
          <w:szCs w:val="24"/>
          <w:lang w:val="en-US"/>
        </w:rPr>
      </w:pPr>
      <w:bookmarkStart w:id="0" w:name="_GoBack"/>
      <w:bookmarkEnd w:id="0"/>
      <w:r w:rsidRPr="00F26949">
        <w:rPr>
          <w:rFonts w:ascii="Times New Roman" w:eastAsia="Times New Roman" w:hAnsi="Times New Roman" w:cs="Times New Roman"/>
          <w:b/>
          <w:bCs/>
          <w:sz w:val="40"/>
          <w:szCs w:val="44"/>
          <w:lang w:val="en-US"/>
        </w:rPr>
        <w:t xml:space="preserve">Source </w:t>
      </w:r>
      <w:r w:rsidR="000C158D" w:rsidRPr="00F26949">
        <w:rPr>
          <w:rFonts w:ascii="Times New Roman" w:eastAsia="Times New Roman" w:hAnsi="Times New Roman" w:cs="Times New Roman"/>
          <w:b/>
          <w:bCs/>
          <w:sz w:val="40"/>
          <w:szCs w:val="44"/>
          <w:lang w:val="en-US"/>
        </w:rPr>
        <w:t>A</w:t>
      </w:r>
      <w:r w:rsidRPr="00F26949">
        <w:rPr>
          <w:rFonts w:ascii="Times New Roman" w:eastAsia="Times New Roman" w:hAnsi="Times New Roman" w:cs="Times New Roman"/>
          <w:b/>
          <w:bCs/>
          <w:sz w:val="40"/>
          <w:szCs w:val="44"/>
          <w:lang w:val="en-US"/>
        </w:rPr>
        <w:t xml:space="preserve">pportionment of </w:t>
      </w:r>
      <w:r w:rsidR="000C158D" w:rsidRPr="00F26949">
        <w:rPr>
          <w:rFonts w:ascii="Times New Roman" w:eastAsia="Times New Roman" w:hAnsi="Times New Roman" w:cs="Times New Roman"/>
          <w:b/>
          <w:bCs/>
          <w:sz w:val="40"/>
          <w:szCs w:val="44"/>
          <w:lang w:val="en-US"/>
        </w:rPr>
        <w:t>V</w:t>
      </w:r>
      <w:r w:rsidRPr="00F26949">
        <w:rPr>
          <w:rFonts w:ascii="Times New Roman" w:eastAsia="Times New Roman" w:hAnsi="Times New Roman" w:cs="Times New Roman"/>
          <w:b/>
          <w:bCs/>
          <w:sz w:val="40"/>
          <w:szCs w:val="44"/>
          <w:lang w:val="en-US"/>
        </w:rPr>
        <w:t xml:space="preserve">olatile </w:t>
      </w:r>
      <w:r w:rsidR="000C158D" w:rsidRPr="00F26949">
        <w:rPr>
          <w:rFonts w:ascii="Times New Roman" w:eastAsia="Times New Roman" w:hAnsi="Times New Roman" w:cs="Times New Roman"/>
          <w:b/>
          <w:bCs/>
          <w:sz w:val="40"/>
          <w:szCs w:val="44"/>
          <w:lang w:val="en-US"/>
        </w:rPr>
        <w:t>O</w:t>
      </w:r>
      <w:r w:rsidRPr="00F26949">
        <w:rPr>
          <w:rFonts w:ascii="Times New Roman" w:eastAsia="Times New Roman" w:hAnsi="Times New Roman" w:cs="Times New Roman"/>
          <w:b/>
          <w:bCs/>
          <w:sz w:val="40"/>
          <w:szCs w:val="44"/>
          <w:lang w:val="en-US"/>
        </w:rPr>
        <w:t xml:space="preserve">rganic </w:t>
      </w:r>
      <w:r w:rsidR="000C158D" w:rsidRPr="00F26949">
        <w:rPr>
          <w:rFonts w:ascii="Times New Roman" w:eastAsia="Times New Roman" w:hAnsi="Times New Roman" w:cs="Times New Roman"/>
          <w:b/>
          <w:bCs/>
          <w:sz w:val="40"/>
          <w:szCs w:val="44"/>
          <w:lang w:val="en-US"/>
        </w:rPr>
        <w:t>C</w:t>
      </w:r>
      <w:r w:rsidRPr="00F26949">
        <w:rPr>
          <w:rFonts w:ascii="Times New Roman" w:eastAsia="Times New Roman" w:hAnsi="Times New Roman" w:cs="Times New Roman"/>
          <w:b/>
          <w:bCs/>
          <w:sz w:val="40"/>
          <w:szCs w:val="44"/>
          <w:lang w:val="en-US"/>
        </w:rPr>
        <w:t xml:space="preserve">ompounds and </w:t>
      </w:r>
      <w:r w:rsidR="000C158D" w:rsidRPr="00F26949">
        <w:rPr>
          <w:rFonts w:ascii="Times New Roman" w:eastAsia="Times New Roman" w:hAnsi="Times New Roman" w:cs="Times New Roman"/>
          <w:b/>
          <w:bCs/>
          <w:sz w:val="40"/>
          <w:szCs w:val="44"/>
          <w:lang w:val="en-US"/>
        </w:rPr>
        <w:t>P</w:t>
      </w:r>
      <w:r w:rsidRPr="00F26949">
        <w:rPr>
          <w:rFonts w:ascii="Times New Roman" w:eastAsia="Times New Roman" w:hAnsi="Times New Roman" w:cs="Times New Roman"/>
          <w:b/>
          <w:bCs/>
          <w:sz w:val="40"/>
          <w:szCs w:val="44"/>
          <w:lang w:val="en-US"/>
        </w:rPr>
        <w:t xml:space="preserve">articulate </w:t>
      </w:r>
      <w:r w:rsidR="000C158D" w:rsidRPr="00F26949">
        <w:rPr>
          <w:rFonts w:ascii="Times New Roman" w:eastAsia="Times New Roman" w:hAnsi="Times New Roman" w:cs="Times New Roman"/>
          <w:b/>
          <w:bCs/>
          <w:sz w:val="40"/>
          <w:szCs w:val="44"/>
          <w:lang w:val="en-US"/>
        </w:rPr>
        <w:t>M</w:t>
      </w:r>
      <w:r w:rsidRPr="00F26949">
        <w:rPr>
          <w:rFonts w:ascii="Times New Roman" w:eastAsia="Times New Roman" w:hAnsi="Times New Roman" w:cs="Times New Roman"/>
          <w:b/>
          <w:bCs/>
          <w:sz w:val="40"/>
          <w:szCs w:val="44"/>
          <w:lang w:val="en-US"/>
        </w:rPr>
        <w:t xml:space="preserve">atter in </w:t>
      </w:r>
      <w:r w:rsidR="000C158D" w:rsidRPr="00F26949">
        <w:rPr>
          <w:rFonts w:ascii="Times New Roman" w:eastAsia="Times New Roman" w:hAnsi="Times New Roman" w:cs="Times New Roman"/>
          <w:b/>
          <w:bCs/>
          <w:sz w:val="40"/>
          <w:szCs w:val="44"/>
          <w:lang w:val="en-US"/>
        </w:rPr>
        <w:t>N</w:t>
      </w:r>
      <w:r w:rsidRPr="00F26949">
        <w:rPr>
          <w:rFonts w:ascii="Times New Roman" w:eastAsia="Times New Roman" w:hAnsi="Times New Roman" w:cs="Times New Roman"/>
          <w:b/>
          <w:bCs/>
          <w:sz w:val="40"/>
          <w:szCs w:val="44"/>
          <w:lang w:val="en-US"/>
        </w:rPr>
        <w:t xml:space="preserve">orthwest India using </w:t>
      </w:r>
      <w:r w:rsidR="000C158D" w:rsidRPr="00F26949">
        <w:rPr>
          <w:rFonts w:ascii="Times New Roman" w:eastAsia="Times New Roman" w:hAnsi="Times New Roman" w:cs="Times New Roman"/>
          <w:b/>
          <w:bCs/>
          <w:sz w:val="40"/>
          <w:szCs w:val="44"/>
          <w:lang w:val="en-US"/>
        </w:rPr>
        <w:t>P</w:t>
      </w:r>
      <w:r w:rsidRPr="00F26949">
        <w:rPr>
          <w:rFonts w:ascii="Times New Roman" w:eastAsia="Times New Roman" w:hAnsi="Times New Roman" w:cs="Times New Roman"/>
          <w:b/>
          <w:bCs/>
          <w:sz w:val="40"/>
          <w:szCs w:val="44"/>
          <w:lang w:val="en-US"/>
        </w:rPr>
        <w:t xml:space="preserve">ositive </w:t>
      </w:r>
      <w:r w:rsidR="000C158D" w:rsidRPr="00F26949">
        <w:rPr>
          <w:rFonts w:ascii="Times New Roman" w:eastAsia="Times New Roman" w:hAnsi="Times New Roman" w:cs="Times New Roman"/>
          <w:b/>
          <w:bCs/>
          <w:sz w:val="40"/>
          <w:szCs w:val="44"/>
          <w:lang w:val="en-US"/>
        </w:rPr>
        <w:t>M</w:t>
      </w:r>
      <w:r w:rsidRPr="00F26949">
        <w:rPr>
          <w:rFonts w:ascii="Times New Roman" w:eastAsia="Times New Roman" w:hAnsi="Times New Roman" w:cs="Times New Roman"/>
          <w:b/>
          <w:bCs/>
          <w:sz w:val="40"/>
          <w:szCs w:val="44"/>
          <w:lang w:val="en-US"/>
        </w:rPr>
        <w:t xml:space="preserve">atrix </w:t>
      </w:r>
      <w:r w:rsidR="000C158D" w:rsidRPr="00F26949">
        <w:rPr>
          <w:rFonts w:ascii="Times New Roman" w:eastAsia="Times New Roman" w:hAnsi="Times New Roman" w:cs="Times New Roman"/>
          <w:b/>
          <w:bCs/>
          <w:sz w:val="40"/>
          <w:szCs w:val="44"/>
          <w:lang w:val="en-US"/>
        </w:rPr>
        <w:t>F</w:t>
      </w:r>
      <w:r w:rsidRPr="00F26949">
        <w:rPr>
          <w:rFonts w:ascii="Times New Roman" w:eastAsia="Times New Roman" w:hAnsi="Times New Roman" w:cs="Times New Roman"/>
          <w:b/>
          <w:bCs/>
          <w:sz w:val="40"/>
          <w:szCs w:val="44"/>
          <w:lang w:val="en-US"/>
        </w:rPr>
        <w:t xml:space="preserve">actorization </w:t>
      </w:r>
      <w:r w:rsidR="000C158D" w:rsidRPr="00F26949">
        <w:rPr>
          <w:rFonts w:ascii="Times New Roman" w:eastAsia="Times New Roman" w:hAnsi="Times New Roman" w:cs="Times New Roman"/>
          <w:b/>
          <w:bCs/>
          <w:sz w:val="40"/>
          <w:szCs w:val="44"/>
          <w:lang w:val="en-US"/>
        </w:rPr>
        <w:t>M</w:t>
      </w:r>
      <w:r w:rsidRPr="00F26949">
        <w:rPr>
          <w:rFonts w:ascii="Times New Roman" w:eastAsia="Times New Roman" w:hAnsi="Times New Roman" w:cs="Times New Roman"/>
          <w:b/>
          <w:bCs/>
          <w:sz w:val="40"/>
          <w:szCs w:val="44"/>
          <w:lang w:val="en-US"/>
        </w:rPr>
        <w:t>odel</w:t>
      </w:r>
    </w:p>
    <w:p w14:paraId="1F58A0FD"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p>
    <w:p w14:paraId="2624D5F7"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p>
    <w:p w14:paraId="6E312637"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p>
    <w:p w14:paraId="6E9402BD" w14:textId="77777777" w:rsidR="001A660D" w:rsidRPr="00F26949" w:rsidRDefault="001A660D" w:rsidP="001A660D">
      <w:pPr>
        <w:spacing w:after="0" w:line="240" w:lineRule="auto"/>
        <w:jc w:val="center"/>
        <w:rPr>
          <w:rFonts w:ascii="Times New Roman" w:eastAsia="Times New Roman" w:hAnsi="Times New Roman" w:cs="Times New Roman"/>
          <w:bCs/>
          <w:i/>
          <w:sz w:val="40"/>
          <w:szCs w:val="40"/>
          <w:lang w:val="en-US"/>
        </w:rPr>
      </w:pPr>
      <w:r w:rsidRPr="00F26949">
        <w:rPr>
          <w:rFonts w:ascii="Times New Roman" w:eastAsia="Times New Roman" w:hAnsi="Times New Roman" w:cs="Times New Roman"/>
          <w:bCs/>
          <w:i/>
          <w:sz w:val="40"/>
          <w:szCs w:val="40"/>
          <w:lang w:val="en-US"/>
        </w:rPr>
        <w:t>Dissertation submitted by</w:t>
      </w:r>
    </w:p>
    <w:p w14:paraId="3F3A091E"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r w:rsidRPr="00F26949">
        <w:rPr>
          <w:rFonts w:ascii="Times New Roman" w:eastAsia="Times New Roman" w:hAnsi="Times New Roman" w:cs="Times New Roman"/>
          <w:b/>
          <w:sz w:val="40"/>
          <w:szCs w:val="40"/>
          <w:lang w:val="en-US"/>
        </w:rPr>
        <w:t>Pallavi</w:t>
      </w:r>
    </w:p>
    <w:p w14:paraId="307C9280" w14:textId="77777777" w:rsidR="001A660D" w:rsidRPr="00F26949" w:rsidRDefault="001A660D" w:rsidP="001A660D">
      <w:pPr>
        <w:spacing w:after="0" w:line="360" w:lineRule="auto"/>
        <w:jc w:val="center"/>
        <w:rPr>
          <w:rFonts w:ascii="Times New Roman" w:eastAsia="Times New Roman" w:hAnsi="Times New Roman" w:cs="Times New Roman"/>
          <w:sz w:val="24"/>
          <w:szCs w:val="24"/>
          <w:lang w:val="en-US"/>
        </w:rPr>
      </w:pPr>
    </w:p>
    <w:p w14:paraId="360D00BB" w14:textId="77777777" w:rsidR="001A660D" w:rsidRPr="00F26949" w:rsidRDefault="001A660D" w:rsidP="001A660D">
      <w:pPr>
        <w:spacing w:after="0" w:line="360" w:lineRule="auto"/>
        <w:rPr>
          <w:rFonts w:ascii="Times New Roman" w:eastAsia="Times New Roman" w:hAnsi="Times New Roman" w:cs="Times New Roman"/>
          <w:sz w:val="40"/>
          <w:szCs w:val="40"/>
          <w:lang w:val="en-US"/>
        </w:rPr>
      </w:pPr>
    </w:p>
    <w:p w14:paraId="2BE1E3AC" w14:textId="77777777" w:rsidR="001A660D" w:rsidRPr="00F26949" w:rsidRDefault="001A660D" w:rsidP="001A660D">
      <w:pPr>
        <w:spacing w:after="0" w:line="360" w:lineRule="auto"/>
        <w:jc w:val="center"/>
        <w:rPr>
          <w:rFonts w:ascii="Times New Roman" w:eastAsia="Times New Roman" w:hAnsi="Times New Roman" w:cs="Times New Roman"/>
          <w:sz w:val="24"/>
          <w:szCs w:val="24"/>
          <w:lang w:val="en-US"/>
        </w:rPr>
      </w:pPr>
    </w:p>
    <w:p w14:paraId="13E7F9E1" w14:textId="77777777" w:rsidR="001A660D" w:rsidRPr="00F26949" w:rsidRDefault="001A660D" w:rsidP="001A660D">
      <w:pPr>
        <w:spacing w:after="0" w:line="240" w:lineRule="auto"/>
        <w:jc w:val="center"/>
        <w:rPr>
          <w:rFonts w:ascii="Times New Roman" w:eastAsia="Times New Roman" w:hAnsi="Times New Roman" w:cs="Times New Roman"/>
          <w:bCs/>
          <w:i/>
          <w:sz w:val="40"/>
          <w:szCs w:val="40"/>
          <w:lang w:val="en-US"/>
        </w:rPr>
      </w:pPr>
      <w:r w:rsidRPr="00F26949">
        <w:rPr>
          <w:rFonts w:ascii="Times New Roman" w:eastAsia="Times New Roman" w:hAnsi="Times New Roman" w:cs="Times New Roman"/>
          <w:bCs/>
          <w:i/>
          <w:sz w:val="40"/>
          <w:szCs w:val="40"/>
          <w:lang w:val="en-US"/>
        </w:rPr>
        <w:t>in partial fulfilment of</w:t>
      </w:r>
    </w:p>
    <w:p w14:paraId="4569EFA6" w14:textId="77777777" w:rsidR="001A660D" w:rsidRPr="00F26949" w:rsidRDefault="001A660D" w:rsidP="001A660D">
      <w:pPr>
        <w:spacing w:after="0" w:line="240" w:lineRule="auto"/>
        <w:jc w:val="center"/>
        <w:rPr>
          <w:rFonts w:ascii="Times New Roman" w:eastAsia="Times New Roman" w:hAnsi="Times New Roman" w:cs="Times New Roman"/>
          <w:bCs/>
          <w:i/>
          <w:sz w:val="40"/>
          <w:szCs w:val="40"/>
          <w:lang w:val="en-US"/>
        </w:rPr>
      </w:pPr>
      <w:r w:rsidRPr="00F26949">
        <w:rPr>
          <w:rFonts w:ascii="Times New Roman" w:eastAsia="Times New Roman" w:hAnsi="Times New Roman" w:cs="Times New Roman"/>
          <w:bCs/>
          <w:i/>
          <w:sz w:val="40"/>
          <w:szCs w:val="40"/>
          <w:lang w:val="en-US"/>
        </w:rPr>
        <w:t>the requirements for the degree of</w:t>
      </w:r>
    </w:p>
    <w:p w14:paraId="0C1B9504"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r w:rsidRPr="00F26949">
        <w:rPr>
          <w:rFonts w:ascii="Times New Roman" w:eastAsia="Times New Roman" w:hAnsi="Times New Roman" w:cs="Times New Roman"/>
          <w:b/>
          <w:sz w:val="40"/>
          <w:szCs w:val="40"/>
          <w:lang w:val="en-US"/>
        </w:rPr>
        <w:t>Doctor of Philosophy</w:t>
      </w:r>
    </w:p>
    <w:p w14:paraId="19306889" w14:textId="77777777" w:rsidR="001A660D" w:rsidRPr="00F26949" w:rsidRDefault="001A660D" w:rsidP="001A660D">
      <w:pPr>
        <w:spacing w:after="0" w:line="360" w:lineRule="auto"/>
        <w:jc w:val="center"/>
        <w:rPr>
          <w:rFonts w:ascii="Times New Roman" w:eastAsia="Times New Roman" w:hAnsi="Times New Roman" w:cs="Times New Roman"/>
          <w:b/>
          <w:bCs/>
          <w:sz w:val="20"/>
          <w:szCs w:val="24"/>
          <w:lang w:val="en-US"/>
        </w:rPr>
      </w:pPr>
    </w:p>
    <w:p w14:paraId="71271E71"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p>
    <w:p w14:paraId="04C7CA9E"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p>
    <w:p w14:paraId="7FB4C2B9" w14:textId="77777777" w:rsidR="001A660D" w:rsidRPr="00F26949" w:rsidRDefault="001A660D" w:rsidP="001A660D">
      <w:pPr>
        <w:spacing w:after="0" w:line="360" w:lineRule="auto"/>
        <w:jc w:val="center"/>
        <w:rPr>
          <w:rFonts w:ascii="Times New Roman" w:eastAsia="Times New Roman" w:hAnsi="Times New Roman" w:cs="Times New Roman"/>
          <w:b/>
          <w:bCs/>
          <w:sz w:val="36"/>
          <w:szCs w:val="24"/>
          <w:lang w:val="en-US"/>
        </w:rPr>
      </w:pPr>
      <w:r w:rsidRPr="00F26949">
        <w:rPr>
          <w:rFonts w:ascii="Times New Roman" w:eastAsia="Times New Roman" w:hAnsi="Times New Roman" w:cs="Times New Roman"/>
          <w:b/>
          <w:bCs/>
          <w:noProof/>
          <w:sz w:val="36"/>
          <w:szCs w:val="24"/>
          <w:lang w:eastAsia="en-IN"/>
        </w:rPr>
        <w:drawing>
          <wp:inline distT="0" distB="0" distL="0" distR="0" wp14:anchorId="665A168E" wp14:editId="29203A07">
            <wp:extent cx="1388521" cy="1555750"/>
            <wp:effectExtent l="0" t="0" r="2540" b="6350"/>
            <wp:docPr id="2" name="Picture 2" descr="D:\A_PhD thesis\Thesis_other people\Chinmoy's thesis\Copernicus_LaTeX_Package\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_PhD thesis\Thesis_other people\Chinmoy's thesis\Copernicus_LaTeX_Package\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0550" cy="1558023"/>
                    </a:xfrm>
                    <a:prstGeom prst="rect">
                      <a:avLst/>
                    </a:prstGeom>
                    <a:noFill/>
                    <a:ln>
                      <a:noFill/>
                    </a:ln>
                  </pic:spPr>
                </pic:pic>
              </a:graphicData>
            </a:graphic>
          </wp:inline>
        </w:drawing>
      </w:r>
    </w:p>
    <w:p w14:paraId="549F1D4E" w14:textId="77777777" w:rsidR="001A660D" w:rsidRPr="00F26949" w:rsidRDefault="001A660D" w:rsidP="001A660D">
      <w:pPr>
        <w:spacing w:after="0" w:line="360" w:lineRule="auto"/>
        <w:jc w:val="center"/>
        <w:rPr>
          <w:rFonts w:ascii="Times New Roman" w:eastAsia="Times New Roman" w:hAnsi="Times New Roman" w:cs="Times New Roman"/>
          <w:b/>
          <w:sz w:val="28"/>
          <w:szCs w:val="28"/>
          <w:lang w:val="en-US"/>
        </w:rPr>
      </w:pPr>
      <w:r w:rsidRPr="00F26949">
        <w:rPr>
          <w:rFonts w:ascii="Times New Roman" w:eastAsia="Times New Roman" w:hAnsi="Times New Roman" w:cs="Times New Roman"/>
          <w:b/>
          <w:sz w:val="28"/>
          <w:szCs w:val="28"/>
          <w:lang w:val="en-US"/>
        </w:rPr>
        <w:t xml:space="preserve">Department of Earth and Environmental Sciences </w:t>
      </w:r>
    </w:p>
    <w:p w14:paraId="77341AF7" w14:textId="77777777" w:rsidR="001A660D" w:rsidRPr="00F26949" w:rsidRDefault="001A660D" w:rsidP="001A660D">
      <w:pPr>
        <w:spacing w:after="0" w:line="360" w:lineRule="auto"/>
        <w:jc w:val="center"/>
        <w:rPr>
          <w:rFonts w:ascii="Times New Roman" w:eastAsia="Times New Roman" w:hAnsi="Times New Roman" w:cs="Times New Roman"/>
          <w:b/>
          <w:sz w:val="28"/>
          <w:szCs w:val="28"/>
          <w:lang w:val="en-US"/>
        </w:rPr>
      </w:pPr>
      <w:r w:rsidRPr="00F26949">
        <w:rPr>
          <w:rFonts w:ascii="Times New Roman" w:eastAsia="Times New Roman" w:hAnsi="Times New Roman" w:cs="Times New Roman"/>
          <w:b/>
          <w:sz w:val="28"/>
          <w:szCs w:val="28"/>
          <w:lang w:val="en-US"/>
        </w:rPr>
        <w:t xml:space="preserve">Indian Institute of Science Education and Research (IISER), Mohali </w:t>
      </w:r>
    </w:p>
    <w:p w14:paraId="24FB6992" w14:textId="77777777" w:rsidR="001A660D" w:rsidRPr="00F26949" w:rsidRDefault="001A660D" w:rsidP="001A660D">
      <w:pPr>
        <w:spacing w:after="0" w:line="240" w:lineRule="auto"/>
        <w:rPr>
          <w:rFonts w:ascii="Times New Roman" w:eastAsia="Times New Roman" w:hAnsi="Times New Roman" w:cs="Times New Roman"/>
          <w:sz w:val="24"/>
          <w:szCs w:val="24"/>
          <w:lang w:val="en-US"/>
        </w:rPr>
      </w:pPr>
    </w:p>
    <w:p w14:paraId="5C0DD8FC" w14:textId="07DA8F45" w:rsidR="001A660D" w:rsidRPr="00F26949" w:rsidRDefault="00E00912" w:rsidP="001A660D">
      <w:pPr>
        <w:spacing w:after="0" w:line="240" w:lineRule="auto"/>
        <w:jc w:val="center"/>
        <w:rPr>
          <w:rFonts w:ascii="Times New Roman" w:eastAsia="Times New Roman" w:hAnsi="Times New Roman" w:cs="Times New Roman"/>
          <w:b/>
          <w:sz w:val="32"/>
          <w:szCs w:val="32"/>
          <w:lang w:val="en-US"/>
        </w:rPr>
      </w:pPr>
      <w:r>
        <w:rPr>
          <w:rFonts w:ascii="Times New Roman" w:eastAsia="Times New Roman" w:hAnsi="Times New Roman" w:cs="Times New Roman"/>
          <w:b/>
          <w:sz w:val="32"/>
          <w:szCs w:val="32"/>
          <w:lang w:val="en-US"/>
        </w:rPr>
        <w:t>November</w:t>
      </w:r>
      <w:r w:rsidR="001A660D" w:rsidRPr="00F26949">
        <w:rPr>
          <w:rFonts w:ascii="Times New Roman" w:eastAsia="Times New Roman" w:hAnsi="Times New Roman" w:cs="Times New Roman"/>
          <w:b/>
          <w:sz w:val="32"/>
          <w:szCs w:val="32"/>
          <w:lang w:val="en-US"/>
        </w:rPr>
        <w:t xml:space="preserve"> 2023</w:t>
      </w:r>
    </w:p>
    <w:p w14:paraId="1A4A185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793639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C60905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F8E367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DCB68E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F84A72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F0D94A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70DA74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1D8623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53C634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8BA1E7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730B75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2F6704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33E2E4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383505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FAEB41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C3F989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ECD6C9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9CAA16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D9E1AF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57D8B4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C555EA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21C7B5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9B58B0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4A483F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6683A9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79D20E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2041A8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27A9A5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480BC2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9BED9E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9B9E2B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B3C172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B50BFE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3DEFC7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C889BF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FD3ABF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67A0CA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343894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0F64E3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4249E7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BE0951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1C5A83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6D2492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C4D1F7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5BD990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5A3CE1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8257B6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0FC09B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00D8F8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275FBD6" w14:textId="76788156"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0806C5EB" w14:textId="06E37DA6"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60580266" w14:textId="4A864043"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1B5C333E" w14:textId="77777777"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4062B3B5" w14:textId="15B8C492"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6C59D22E" w14:textId="77777777"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0D8AB9E4" w14:textId="7792DD6F" w:rsidR="00E00912" w:rsidRPr="00E00912" w:rsidRDefault="00E00912">
      <w:pPr>
        <w:rPr>
          <w:rFonts w:ascii="Times New Roman" w:eastAsia="Times New Roman" w:hAnsi="Times New Roman" w:cs="Times New Roman"/>
          <w:b/>
          <w:bCs/>
          <w:sz w:val="42"/>
          <w:szCs w:val="42"/>
          <w:lang w:val="en-US"/>
        </w:rPr>
      </w:pPr>
      <w:r w:rsidRPr="00E00912">
        <w:rPr>
          <w:rFonts w:ascii="Times New Roman" w:eastAsia="Times New Roman" w:hAnsi="Times New Roman" w:cs="Times New Roman"/>
          <w:b/>
          <w:bCs/>
          <w:sz w:val="42"/>
          <w:szCs w:val="42"/>
          <w:lang w:val="en-US"/>
        </w:rPr>
        <w:t>This thesis is dedicated to my mother Raj Bala.</w:t>
      </w:r>
    </w:p>
    <w:p w14:paraId="344270B4" w14:textId="77777777" w:rsidR="00E00912" w:rsidRDefault="00E00912" w:rsidP="00AD3183">
      <w:pPr>
        <w:spacing w:after="0" w:line="480" w:lineRule="auto"/>
        <w:jc w:val="center"/>
        <w:rPr>
          <w:rFonts w:ascii="Times New Roman" w:eastAsia="Times New Roman" w:hAnsi="Times New Roman" w:cs="Times New Roman"/>
          <w:b/>
          <w:bCs/>
          <w:sz w:val="40"/>
          <w:szCs w:val="24"/>
          <w:lang w:val="en-US"/>
        </w:rPr>
      </w:pPr>
    </w:p>
    <w:p w14:paraId="06DBBE8F" w14:textId="0392B013" w:rsidR="00E47739" w:rsidRDefault="00E00912">
      <w:pPr>
        <w:rPr>
          <w:rFonts w:ascii="Times New Roman" w:eastAsia="Times New Roman" w:hAnsi="Times New Roman" w:cs="Times New Roman"/>
          <w:b/>
          <w:bCs/>
          <w:sz w:val="40"/>
          <w:szCs w:val="24"/>
          <w:lang w:val="en-US"/>
        </w:rPr>
      </w:pPr>
      <w:r>
        <w:rPr>
          <w:rFonts w:ascii="Times New Roman" w:eastAsia="Times New Roman" w:hAnsi="Times New Roman" w:cs="Times New Roman"/>
          <w:b/>
          <w:bCs/>
          <w:sz w:val="40"/>
          <w:szCs w:val="24"/>
          <w:lang w:val="en-US"/>
        </w:rPr>
        <w:br w:type="page"/>
      </w:r>
    </w:p>
    <w:p w14:paraId="2D797D21" w14:textId="77777777" w:rsidR="00E47739" w:rsidRDefault="00E47739">
      <w:pPr>
        <w:rPr>
          <w:rFonts w:ascii="Times New Roman" w:eastAsia="Times New Roman" w:hAnsi="Times New Roman" w:cs="Times New Roman"/>
          <w:b/>
          <w:bCs/>
          <w:sz w:val="40"/>
          <w:szCs w:val="24"/>
          <w:lang w:val="en-US"/>
        </w:rPr>
      </w:pPr>
      <w:r>
        <w:rPr>
          <w:rFonts w:ascii="Times New Roman" w:eastAsia="Times New Roman" w:hAnsi="Times New Roman" w:cs="Times New Roman"/>
          <w:b/>
          <w:bCs/>
          <w:sz w:val="40"/>
          <w:szCs w:val="24"/>
          <w:lang w:val="en-US"/>
        </w:rPr>
        <w:lastRenderedPageBreak/>
        <w:br w:type="page"/>
      </w:r>
    </w:p>
    <w:p w14:paraId="5560F48D" w14:textId="77777777" w:rsidR="00E00912" w:rsidRDefault="00E00912">
      <w:pPr>
        <w:rPr>
          <w:rFonts w:ascii="Times New Roman" w:eastAsia="Times New Roman" w:hAnsi="Times New Roman" w:cs="Times New Roman"/>
          <w:b/>
          <w:bCs/>
          <w:sz w:val="40"/>
          <w:szCs w:val="24"/>
          <w:lang w:val="en-US"/>
        </w:rPr>
      </w:pPr>
    </w:p>
    <w:p w14:paraId="33479338" w14:textId="73EA8420" w:rsidR="001A660D" w:rsidRPr="00F26949" w:rsidRDefault="001A660D" w:rsidP="00AD3183">
      <w:pPr>
        <w:spacing w:after="0" w:line="480" w:lineRule="auto"/>
        <w:jc w:val="center"/>
        <w:rPr>
          <w:rFonts w:ascii="Times New Roman" w:eastAsia="Times New Roman" w:hAnsi="Times New Roman" w:cs="Times New Roman"/>
          <w:b/>
          <w:bCs/>
          <w:sz w:val="28"/>
          <w:szCs w:val="24"/>
          <w:lang w:val="en-US"/>
        </w:rPr>
      </w:pPr>
      <w:r w:rsidRPr="00F26949">
        <w:rPr>
          <w:rFonts w:ascii="Times New Roman" w:eastAsia="Times New Roman" w:hAnsi="Times New Roman" w:cs="Times New Roman"/>
          <w:b/>
          <w:bCs/>
          <w:sz w:val="40"/>
          <w:szCs w:val="24"/>
          <w:lang w:val="en-US"/>
        </w:rPr>
        <w:t>Declaration</w:t>
      </w:r>
    </w:p>
    <w:p w14:paraId="37673CE3" w14:textId="16637D3F" w:rsidR="00A70D42" w:rsidRPr="00A70D42" w:rsidRDefault="00A70D42" w:rsidP="00A70D42">
      <w:pPr>
        <w:spacing w:before="240" w:after="240" w:line="360" w:lineRule="auto"/>
        <w:jc w:val="both"/>
        <w:rPr>
          <w:rFonts w:ascii="Times New Roman" w:eastAsia="Times New Roman" w:hAnsi="Times New Roman" w:cs="Times New Roman"/>
          <w:sz w:val="24"/>
          <w:szCs w:val="24"/>
        </w:rPr>
      </w:pPr>
      <w:r w:rsidRPr="00A70D42">
        <w:rPr>
          <w:rFonts w:ascii="Times New Roman" w:eastAsia="Times New Roman" w:hAnsi="Times New Roman" w:cs="Times New Roman"/>
          <w:sz w:val="24"/>
          <w:szCs w:val="24"/>
        </w:rPr>
        <w:t>The work presented in this thesis has been carried out by me under the guidance of </w:t>
      </w:r>
      <w:r w:rsidRPr="00A70D42">
        <w:rPr>
          <w:rFonts w:ascii="Times New Roman" w:eastAsia="Times New Roman" w:hAnsi="Times New Roman" w:cs="Times New Roman"/>
          <w:sz w:val="24"/>
          <w:szCs w:val="24"/>
          <w:lang w:val="en-US"/>
        </w:rPr>
        <w:t>Dr.</w:t>
      </w:r>
      <w:r w:rsidR="009204C1">
        <w:rPr>
          <w:rFonts w:ascii="Times New Roman" w:eastAsia="Times New Roman" w:hAnsi="Times New Roman" w:cs="Times New Roman"/>
          <w:sz w:val="24"/>
          <w:szCs w:val="24"/>
          <w:lang w:val="en-US"/>
        </w:rPr>
        <w:t xml:space="preserve"> </w:t>
      </w:r>
      <w:r w:rsidR="00DC0AF2">
        <w:rPr>
          <w:rFonts w:ascii="Times New Roman" w:eastAsia="Times New Roman" w:hAnsi="Times New Roman" w:cs="Times New Roman"/>
          <w:sz w:val="24"/>
          <w:szCs w:val="24"/>
          <w:lang w:val="en-US"/>
        </w:rPr>
        <w:t>Baerbel Sinha</w:t>
      </w:r>
      <w:r w:rsidR="00A447F8">
        <w:rPr>
          <w:rFonts w:ascii="Times New Roman" w:eastAsia="Times New Roman" w:hAnsi="Times New Roman" w:cs="Times New Roman"/>
          <w:sz w:val="24"/>
          <w:szCs w:val="24"/>
          <w:lang w:val="en-US"/>
        </w:rPr>
        <w:t xml:space="preserve"> </w:t>
      </w:r>
      <w:r w:rsidRPr="00A70D42">
        <w:rPr>
          <w:rFonts w:ascii="Times New Roman" w:eastAsia="Times New Roman" w:hAnsi="Times New Roman" w:cs="Times New Roman"/>
          <w:sz w:val="24"/>
          <w:szCs w:val="24"/>
        </w:rPr>
        <w:t>at the Indian Institute of Science Education and Research Mohali. This work has not been submitted in part or in full for a degree, a diploma, or a fellowship to any other university or institute. Whenever contributions of others are involved, every effort is made to indicate this clearly, with due acknowledgement of collaborative research and discussions. This thesis is a bona fide record of original work done by me and all sources listed within have been detailed in the bibliography.</w:t>
      </w:r>
    </w:p>
    <w:p w14:paraId="24E0274F" w14:textId="6B6D1DDA" w:rsidR="001A660D" w:rsidRPr="00A70D42" w:rsidRDefault="001A660D" w:rsidP="00A70D42">
      <w:pPr>
        <w:spacing w:before="240" w:after="240" w:line="360" w:lineRule="auto"/>
        <w:jc w:val="both"/>
        <w:rPr>
          <w:rFonts w:ascii="Times New Roman" w:eastAsia="Times New Roman" w:hAnsi="Times New Roman" w:cs="Times New Roman"/>
          <w:sz w:val="24"/>
          <w:szCs w:val="24"/>
        </w:rPr>
      </w:pPr>
    </w:p>
    <w:p w14:paraId="4650CAAE" w14:textId="77777777" w:rsidR="001A660D" w:rsidRPr="00F26949" w:rsidRDefault="001A660D" w:rsidP="001A660D">
      <w:pPr>
        <w:spacing w:after="0" w:line="360" w:lineRule="auto"/>
        <w:rPr>
          <w:rFonts w:ascii="Times New Roman" w:eastAsia="Times New Roman" w:hAnsi="Times New Roman" w:cs="Times New Roman"/>
          <w:b/>
          <w:sz w:val="24"/>
          <w:szCs w:val="24"/>
          <w:lang w:val="en-US"/>
        </w:rPr>
      </w:pPr>
    </w:p>
    <w:p w14:paraId="247C4BE8" w14:textId="77777777" w:rsidR="001A660D" w:rsidRPr="00F26949" w:rsidRDefault="001A660D" w:rsidP="001A660D">
      <w:pPr>
        <w:spacing w:after="0" w:line="360" w:lineRule="auto"/>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Date:</w:t>
      </w:r>
    </w:p>
    <w:p w14:paraId="4F78BCD3" w14:textId="26FDCE7B" w:rsidR="001A660D" w:rsidRPr="00F26949" w:rsidRDefault="001A660D" w:rsidP="001A660D">
      <w:pPr>
        <w:spacing w:after="0" w:line="360" w:lineRule="auto"/>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Place: Mohali                                                                                                           Pallavi</w:t>
      </w:r>
    </w:p>
    <w:p w14:paraId="65F0D7AC" w14:textId="77777777" w:rsidR="001A660D" w:rsidRPr="00F26949" w:rsidRDefault="001A660D" w:rsidP="001A660D">
      <w:pPr>
        <w:spacing w:after="0" w:line="360" w:lineRule="auto"/>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p>
    <w:p w14:paraId="638EC656" w14:textId="77777777" w:rsidR="001A660D" w:rsidRPr="00F26949" w:rsidRDefault="001A660D" w:rsidP="001A660D">
      <w:pPr>
        <w:spacing w:after="0" w:line="360" w:lineRule="auto"/>
        <w:jc w:val="both"/>
        <w:rPr>
          <w:rFonts w:ascii="Times New Roman" w:eastAsia="Times New Roman" w:hAnsi="Times New Roman" w:cs="Times New Roman"/>
          <w:sz w:val="24"/>
          <w:szCs w:val="24"/>
          <w:lang w:val="en-US"/>
        </w:rPr>
      </w:pPr>
    </w:p>
    <w:p w14:paraId="775BBDCF" w14:textId="77777777" w:rsidR="001A660D" w:rsidRPr="00F26949" w:rsidRDefault="001A660D" w:rsidP="001A660D">
      <w:pPr>
        <w:spacing w:after="0" w:line="360" w:lineRule="auto"/>
        <w:jc w:val="both"/>
        <w:rPr>
          <w:rFonts w:ascii="Times New Roman" w:eastAsia="Times New Roman" w:hAnsi="Times New Roman" w:cs="Times New Roman"/>
          <w:sz w:val="24"/>
          <w:szCs w:val="24"/>
          <w:lang w:val="en-US"/>
        </w:rPr>
      </w:pPr>
    </w:p>
    <w:p w14:paraId="158DB5F9" w14:textId="77777777" w:rsidR="001A660D" w:rsidRPr="00F26949" w:rsidRDefault="001A660D" w:rsidP="001A660D">
      <w:pPr>
        <w:spacing w:after="0" w:line="360" w:lineRule="auto"/>
        <w:jc w:val="both"/>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In my capacity as the supervisor of the candidate’s thesis work, I certify that the above statements by the candidate are true to the best of my knowledge.</w:t>
      </w:r>
    </w:p>
    <w:p w14:paraId="788ACA06" w14:textId="77777777" w:rsidR="001A660D" w:rsidRPr="00F26949" w:rsidRDefault="001A660D" w:rsidP="001A660D">
      <w:pPr>
        <w:spacing w:after="0" w:line="360" w:lineRule="auto"/>
        <w:jc w:val="both"/>
        <w:rPr>
          <w:rFonts w:ascii="Times New Roman" w:eastAsia="Times New Roman" w:hAnsi="Times New Roman" w:cs="Times New Roman"/>
          <w:sz w:val="24"/>
          <w:szCs w:val="24"/>
          <w:lang w:val="en-US"/>
        </w:rPr>
      </w:pPr>
    </w:p>
    <w:p w14:paraId="7F754DB3" w14:textId="77777777" w:rsidR="001A660D" w:rsidRPr="00F26949" w:rsidRDefault="001A660D" w:rsidP="001A660D">
      <w:pPr>
        <w:spacing w:after="0" w:line="360" w:lineRule="auto"/>
        <w:rPr>
          <w:rFonts w:ascii="Times New Roman" w:eastAsia="Times New Roman" w:hAnsi="Times New Roman" w:cs="Times New Roman"/>
          <w:sz w:val="24"/>
          <w:szCs w:val="24"/>
          <w:lang w:val="en-US"/>
        </w:rPr>
      </w:pPr>
    </w:p>
    <w:p w14:paraId="5232C03E" w14:textId="77777777" w:rsidR="001A660D" w:rsidRPr="00F26949" w:rsidRDefault="001A660D" w:rsidP="001A660D">
      <w:pPr>
        <w:spacing w:after="0" w:line="360" w:lineRule="auto"/>
        <w:rPr>
          <w:rFonts w:ascii="Times New Roman" w:eastAsia="Times New Roman" w:hAnsi="Times New Roman" w:cs="Times New Roman"/>
          <w:sz w:val="24"/>
          <w:szCs w:val="24"/>
          <w:lang w:val="en-US"/>
        </w:rPr>
      </w:pPr>
    </w:p>
    <w:p w14:paraId="0005D9E0" w14:textId="74CD2C9E" w:rsidR="001A660D" w:rsidRPr="00F26949" w:rsidRDefault="001A660D" w:rsidP="001A660D">
      <w:pPr>
        <w:spacing w:after="0" w:line="360" w:lineRule="auto"/>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 xml:space="preserve">Date:                                                                                      </w:t>
      </w:r>
      <w:r w:rsidR="000A4543">
        <w:rPr>
          <w:rFonts w:ascii="Times New Roman" w:eastAsia="Times New Roman" w:hAnsi="Times New Roman" w:cs="Times New Roman"/>
          <w:sz w:val="24"/>
          <w:szCs w:val="24"/>
          <w:lang w:val="en-US"/>
        </w:rPr>
        <w:t xml:space="preserve">           </w:t>
      </w:r>
      <w:r w:rsidR="004C52E5">
        <w:rPr>
          <w:rFonts w:ascii="Times New Roman" w:eastAsia="Times New Roman" w:hAnsi="Times New Roman" w:cs="Times New Roman"/>
          <w:sz w:val="24"/>
          <w:szCs w:val="24"/>
          <w:lang w:val="en-US"/>
        </w:rPr>
        <w:t xml:space="preserve">      </w:t>
      </w:r>
      <w:r w:rsidRPr="00F26949">
        <w:rPr>
          <w:rFonts w:ascii="Times New Roman" w:eastAsia="Times New Roman" w:hAnsi="Times New Roman" w:cs="Times New Roman"/>
          <w:sz w:val="24"/>
          <w:szCs w:val="24"/>
          <w:lang w:val="en-US"/>
        </w:rPr>
        <w:t xml:space="preserve">Dr. </w:t>
      </w:r>
      <w:r w:rsidR="000A4543">
        <w:rPr>
          <w:rFonts w:ascii="Times New Roman" w:eastAsia="Times New Roman" w:hAnsi="Times New Roman" w:cs="Times New Roman"/>
          <w:sz w:val="24"/>
          <w:szCs w:val="24"/>
          <w:lang w:val="en-US"/>
        </w:rPr>
        <w:t>Baerbel Sinha</w:t>
      </w:r>
    </w:p>
    <w:p w14:paraId="7B84278F" w14:textId="6801E69B" w:rsidR="001A660D" w:rsidRPr="00F26949" w:rsidRDefault="001A660D" w:rsidP="001A660D">
      <w:pPr>
        <w:spacing w:after="0" w:line="360" w:lineRule="auto"/>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 xml:space="preserve">Place: Mohali                                                   </w:t>
      </w:r>
      <w:r w:rsidR="00DC0AF2">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 xml:space="preserve"> </w:t>
      </w:r>
      <w:r w:rsidR="000A4543">
        <w:rPr>
          <w:rFonts w:ascii="Times New Roman" w:eastAsia="Times New Roman" w:hAnsi="Times New Roman" w:cs="Times New Roman"/>
          <w:sz w:val="24"/>
          <w:szCs w:val="24"/>
          <w:lang w:val="en-US"/>
        </w:rPr>
        <w:t xml:space="preserve">                     </w:t>
      </w:r>
      <w:r w:rsidR="004C52E5">
        <w:rPr>
          <w:rFonts w:ascii="Times New Roman" w:eastAsia="Times New Roman" w:hAnsi="Times New Roman" w:cs="Times New Roman"/>
          <w:sz w:val="24"/>
          <w:szCs w:val="24"/>
          <w:lang w:val="en-US"/>
        </w:rPr>
        <w:t xml:space="preserve">            </w:t>
      </w:r>
      <w:r w:rsidR="000A4543">
        <w:rPr>
          <w:rFonts w:ascii="Times New Roman" w:eastAsia="Times New Roman" w:hAnsi="Times New Roman" w:cs="Times New Roman"/>
          <w:sz w:val="24"/>
          <w:szCs w:val="24"/>
          <w:lang w:val="en-US"/>
        </w:rPr>
        <w:t xml:space="preserve">  </w:t>
      </w:r>
      <w:r w:rsidR="00DC0AF2">
        <w:rPr>
          <w:rFonts w:ascii="Times New Roman" w:eastAsia="Times New Roman" w:hAnsi="Times New Roman" w:cs="Times New Roman"/>
          <w:sz w:val="24"/>
          <w:szCs w:val="24"/>
          <w:lang w:val="en-US"/>
        </w:rPr>
        <w:t>(</w:t>
      </w:r>
      <w:r w:rsidRPr="00F26949">
        <w:rPr>
          <w:rFonts w:ascii="Times New Roman" w:eastAsia="Times New Roman" w:hAnsi="Times New Roman" w:cs="Times New Roman"/>
          <w:sz w:val="24"/>
          <w:szCs w:val="24"/>
          <w:lang w:val="en-US"/>
        </w:rPr>
        <w:t>Supervisor)</w:t>
      </w:r>
    </w:p>
    <w:p w14:paraId="17EE9A34" w14:textId="77777777" w:rsidR="001A660D" w:rsidRPr="00F26949" w:rsidRDefault="001A660D" w:rsidP="001A660D">
      <w:pPr>
        <w:spacing w:after="0" w:line="360" w:lineRule="auto"/>
        <w:rPr>
          <w:rFonts w:ascii="Times New Roman" w:eastAsia="Times New Roman" w:hAnsi="Times New Roman" w:cs="Times New Roman"/>
          <w:sz w:val="24"/>
          <w:szCs w:val="24"/>
          <w:lang w:val="en-US"/>
        </w:rPr>
      </w:pPr>
    </w:p>
    <w:p w14:paraId="379E8AE4" w14:textId="77777777" w:rsidR="001A660D" w:rsidRPr="00F26949" w:rsidRDefault="001A660D" w:rsidP="001A660D">
      <w:pPr>
        <w:spacing w:after="0" w:line="360" w:lineRule="auto"/>
        <w:jc w:val="right"/>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r w:rsidRPr="00F26949">
        <w:rPr>
          <w:rFonts w:ascii="Times New Roman" w:eastAsia="Times New Roman" w:hAnsi="Times New Roman" w:cs="Times New Roman"/>
          <w:sz w:val="24"/>
          <w:szCs w:val="24"/>
          <w:lang w:val="en-US"/>
        </w:rPr>
        <w:tab/>
      </w:r>
    </w:p>
    <w:p w14:paraId="58432A0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3B099F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90FC53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D0DAE1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0DB88E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120181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74985E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AA283F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7ADC2E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019AF9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4711D3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27BF65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8A65C7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137356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E086BE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420AC0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4744EF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D069CC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1B9042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1E092F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F742A2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68150F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A0BDBD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3FC8A5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A54D66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3B2AF6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8FF9E7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16E2C5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AA7F6E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8B7A19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7BF9F2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D49B84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02FEB4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961574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65D6AB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8D42B1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E85590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CB48B2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54B207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E28A7F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8C1179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2B383D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BD532C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D0A098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51C8F4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3B2889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32DE55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2C4ED9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9B6E6FE" w14:textId="77777777" w:rsidR="001A660D" w:rsidRDefault="001A660D" w:rsidP="00A70D42">
      <w:pPr>
        <w:spacing w:after="0" w:line="240" w:lineRule="auto"/>
        <w:rPr>
          <w:rFonts w:ascii="Times New Roman" w:eastAsia="Times New Roman" w:hAnsi="Times New Roman" w:cs="Times New Roman"/>
          <w:sz w:val="24"/>
          <w:szCs w:val="24"/>
          <w:lang w:val="en-US"/>
        </w:rPr>
      </w:pPr>
    </w:p>
    <w:p w14:paraId="4C10200A" w14:textId="77777777" w:rsidR="00A70D42" w:rsidRDefault="00A70D42" w:rsidP="00A70D42">
      <w:pPr>
        <w:spacing w:after="0" w:line="240" w:lineRule="auto"/>
        <w:rPr>
          <w:rFonts w:ascii="Times New Roman" w:eastAsia="Times New Roman" w:hAnsi="Times New Roman" w:cs="Times New Roman"/>
          <w:sz w:val="24"/>
          <w:szCs w:val="24"/>
          <w:lang w:val="en-US"/>
        </w:rPr>
      </w:pPr>
    </w:p>
    <w:p w14:paraId="628CF4AA"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25B5B44F"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254D02EB"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3C9D8F59"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6EB7C66B"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15B5D054" w14:textId="77777777" w:rsidR="00113984" w:rsidRDefault="00113984" w:rsidP="00A70D42">
      <w:pPr>
        <w:spacing w:after="0" w:line="240" w:lineRule="auto"/>
        <w:rPr>
          <w:rFonts w:ascii="Times New Roman" w:eastAsia="Times New Roman" w:hAnsi="Times New Roman" w:cs="Times New Roman"/>
          <w:sz w:val="24"/>
          <w:szCs w:val="24"/>
          <w:lang w:val="en-US"/>
        </w:rPr>
      </w:pPr>
    </w:p>
    <w:p w14:paraId="2E17EDF3" w14:textId="77777777" w:rsidR="00113984" w:rsidRPr="00F26949" w:rsidRDefault="00113984" w:rsidP="00A70D42">
      <w:pPr>
        <w:spacing w:after="0" w:line="240" w:lineRule="auto"/>
        <w:rPr>
          <w:rFonts w:ascii="Times New Roman" w:eastAsia="Times New Roman" w:hAnsi="Times New Roman" w:cs="Times New Roman"/>
          <w:sz w:val="24"/>
          <w:szCs w:val="24"/>
          <w:lang w:val="en-US"/>
        </w:rPr>
      </w:pPr>
    </w:p>
    <w:p w14:paraId="58C893E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1DF323B" w14:textId="77777777" w:rsidR="001A660D" w:rsidRDefault="001A660D" w:rsidP="001A660D">
      <w:pPr>
        <w:spacing w:after="0" w:line="240" w:lineRule="auto"/>
        <w:jc w:val="center"/>
        <w:rPr>
          <w:rFonts w:ascii="Times New Roman" w:eastAsia="Times New Roman" w:hAnsi="Times New Roman" w:cs="Times New Roman"/>
          <w:sz w:val="24"/>
          <w:szCs w:val="24"/>
          <w:lang w:val="en-US"/>
        </w:rPr>
      </w:pPr>
    </w:p>
    <w:p w14:paraId="02AFFC25" w14:textId="77777777" w:rsidR="00311023" w:rsidRPr="00F26949" w:rsidRDefault="00311023" w:rsidP="001A660D">
      <w:pPr>
        <w:spacing w:after="0" w:line="240" w:lineRule="auto"/>
        <w:jc w:val="center"/>
        <w:rPr>
          <w:rFonts w:ascii="Times New Roman" w:eastAsia="Times New Roman" w:hAnsi="Times New Roman" w:cs="Times New Roman"/>
          <w:sz w:val="24"/>
          <w:szCs w:val="24"/>
          <w:lang w:val="en-US"/>
        </w:rPr>
      </w:pPr>
    </w:p>
    <w:p w14:paraId="0A96BA15" w14:textId="77777777" w:rsidR="001A660D" w:rsidRPr="00F26949" w:rsidRDefault="001A660D" w:rsidP="001A660D">
      <w:pPr>
        <w:spacing w:after="0" w:line="480" w:lineRule="auto"/>
        <w:ind w:firstLine="720"/>
        <w:jc w:val="center"/>
        <w:rPr>
          <w:rFonts w:ascii="Times New Roman" w:eastAsia="Times New Roman" w:hAnsi="Times New Roman" w:cs="Times New Roman"/>
          <w:b/>
          <w:bCs/>
          <w:sz w:val="40"/>
          <w:szCs w:val="24"/>
          <w:lang w:val="en-US"/>
        </w:rPr>
      </w:pPr>
      <w:r w:rsidRPr="00F26949">
        <w:rPr>
          <w:rFonts w:ascii="Times New Roman" w:eastAsia="Times New Roman" w:hAnsi="Times New Roman" w:cs="Times New Roman"/>
          <w:b/>
          <w:bCs/>
          <w:sz w:val="40"/>
          <w:szCs w:val="24"/>
          <w:lang w:val="en-US"/>
        </w:rPr>
        <w:t>Acknowledgements</w:t>
      </w:r>
    </w:p>
    <w:p w14:paraId="536D7764" w14:textId="77777777" w:rsidR="001A660D" w:rsidRPr="00F26949" w:rsidRDefault="001A660D" w:rsidP="001A660D">
      <w:pPr>
        <w:spacing w:after="0" w:line="480" w:lineRule="auto"/>
        <w:ind w:firstLine="720"/>
        <w:jc w:val="center"/>
        <w:rPr>
          <w:rFonts w:ascii="Times New Roman" w:eastAsia="Times New Roman" w:hAnsi="Times New Roman" w:cs="Times New Roman"/>
          <w:bCs/>
          <w:sz w:val="24"/>
          <w:szCs w:val="24"/>
          <w:lang w:val="en-US"/>
        </w:rPr>
      </w:pPr>
      <w:r w:rsidRPr="00F26949">
        <w:rPr>
          <w:rFonts w:ascii="Times New Roman" w:eastAsia="Times New Roman" w:hAnsi="Times New Roman" w:cs="Times New Roman"/>
          <w:bCs/>
          <w:sz w:val="24"/>
          <w:szCs w:val="24"/>
          <w:lang w:val="en-US"/>
        </w:rPr>
        <w:t>Thanks to IISER-Mohali, family and friends.</w:t>
      </w:r>
    </w:p>
    <w:p w14:paraId="298A274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4116A2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B21CC6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AAA954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D2CCDA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ADA875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C87D2D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1AFD2E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13AB14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3AF9D9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33DE84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903A7C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C4876E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306653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764EA8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58551A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69B022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3AEAE1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F59A85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D9BA80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7893A7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6954DF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8DBAE1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EB2107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02E0E2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1E1CA1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E1342C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3F5A56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1D6795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BF8F4A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8CEE83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4B034E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6EADD2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B3333C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6572B5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927A49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0E12C6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9719AE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65052D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28670B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A9F3DA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A0CFE5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F86452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D185C3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A974CE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96F05D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340494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448BEE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5D16D8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E63AF6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14C063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C96334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93A34D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908E4D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53F8DF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2369E6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468263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A8FFB5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0AA9BF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C2D23C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AC237BF"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7E18BE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2C0FDF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0DB35B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4A93AD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B4370A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35464828"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44AFFEB"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C48CEF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0387F2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271943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A50C90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83D8DE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C78EFD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6950129"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D5A72D0"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1F3653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17EA5AE"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2A6CE9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451450A"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0CD2489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A38301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899844C"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14753C6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09A8791"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34FAB33"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267C886"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7284A667"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5F0A292"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5B999D45"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2F333EED"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64C27384" w14:textId="77777777" w:rsidR="001A660D" w:rsidRDefault="001A660D" w:rsidP="001A660D">
      <w:pPr>
        <w:spacing w:after="0" w:line="240" w:lineRule="auto"/>
        <w:jc w:val="center"/>
        <w:rPr>
          <w:rFonts w:ascii="Times New Roman" w:eastAsia="Times New Roman" w:hAnsi="Times New Roman" w:cs="Times New Roman"/>
          <w:sz w:val="24"/>
          <w:szCs w:val="24"/>
          <w:lang w:val="en-US"/>
        </w:rPr>
      </w:pPr>
    </w:p>
    <w:p w14:paraId="0C427D10" w14:textId="77777777" w:rsidR="00311023" w:rsidRPr="00F26949" w:rsidRDefault="00311023" w:rsidP="001A660D">
      <w:pPr>
        <w:spacing w:after="0" w:line="240" w:lineRule="auto"/>
        <w:jc w:val="center"/>
        <w:rPr>
          <w:rFonts w:ascii="Times New Roman" w:eastAsia="Times New Roman" w:hAnsi="Times New Roman" w:cs="Times New Roman"/>
          <w:sz w:val="24"/>
          <w:szCs w:val="24"/>
          <w:lang w:val="en-US"/>
        </w:rPr>
      </w:pPr>
    </w:p>
    <w:p w14:paraId="12D67A54" w14:textId="77777777" w:rsidR="001A660D" w:rsidRPr="00F26949" w:rsidRDefault="001A660D" w:rsidP="001A660D">
      <w:pPr>
        <w:spacing w:after="0" w:line="240" w:lineRule="auto"/>
        <w:jc w:val="center"/>
        <w:rPr>
          <w:rFonts w:ascii="Times New Roman" w:eastAsia="Times New Roman" w:hAnsi="Times New Roman" w:cs="Times New Roman"/>
          <w:sz w:val="24"/>
          <w:szCs w:val="24"/>
          <w:lang w:val="en-US"/>
        </w:rPr>
      </w:pPr>
    </w:p>
    <w:p w14:paraId="491FA728" w14:textId="77777777" w:rsidR="001A660D" w:rsidRDefault="001A660D" w:rsidP="001A660D">
      <w:pPr>
        <w:spacing w:after="0" w:line="240" w:lineRule="auto"/>
        <w:jc w:val="center"/>
        <w:rPr>
          <w:rFonts w:ascii="Times New Roman" w:eastAsia="Times New Roman" w:hAnsi="Times New Roman" w:cs="Times New Roman"/>
          <w:b/>
          <w:sz w:val="40"/>
          <w:szCs w:val="40"/>
          <w:lang w:val="en-US"/>
        </w:rPr>
      </w:pPr>
      <w:r w:rsidRPr="00F26949">
        <w:rPr>
          <w:rFonts w:ascii="Times New Roman" w:eastAsia="Times New Roman" w:hAnsi="Times New Roman" w:cs="Times New Roman"/>
          <w:b/>
          <w:sz w:val="40"/>
          <w:szCs w:val="40"/>
          <w:lang w:val="en-US"/>
        </w:rPr>
        <w:t>List of Publications</w:t>
      </w:r>
    </w:p>
    <w:p w14:paraId="7532F4E7" w14:textId="77777777" w:rsidR="00782D0F" w:rsidRPr="00F26949" w:rsidRDefault="00782D0F" w:rsidP="001A660D">
      <w:pPr>
        <w:spacing w:after="0" w:line="240" w:lineRule="auto"/>
        <w:jc w:val="center"/>
        <w:rPr>
          <w:rFonts w:ascii="Times New Roman" w:eastAsia="Times New Roman" w:hAnsi="Times New Roman" w:cs="Times New Roman"/>
          <w:b/>
          <w:sz w:val="40"/>
          <w:szCs w:val="40"/>
          <w:lang w:val="en-US"/>
        </w:rPr>
      </w:pPr>
    </w:p>
    <w:p w14:paraId="5E5C7DAD" w14:textId="77777777" w:rsidR="001A660D" w:rsidRPr="00F26949" w:rsidRDefault="001A660D" w:rsidP="001A660D">
      <w:pPr>
        <w:spacing w:after="0" w:line="240" w:lineRule="auto"/>
        <w:rPr>
          <w:rFonts w:ascii="Times New Roman" w:eastAsia="Times New Roman" w:hAnsi="Times New Roman" w:cs="Times New Roman"/>
          <w:b/>
          <w:sz w:val="24"/>
          <w:szCs w:val="24"/>
          <w:lang w:val="en-US"/>
        </w:rPr>
      </w:pPr>
    </w:p>
    <w:p w14:paraId="1D4E2F04" w14:textId="336592FE" w:rsidR="001A660D" w:rsidRPr="00554EB9" w:rsidRDefault="001A660D" w:rsidP="008F219E">
      <w:pPr>
        <w:spacing w:after="0" w:line="360" w:lineRule="auto"/>
        <w:jc w:val="both"/>
        <w:rPr>
          <w:rFonts w:ascii="Times New Roman" w:eastAsia="Times New Roman" w:hAnsi="Times New Roman" w:cs="Times New Roman"/>
          <w:bCs/>
          <w:sz w:val="24"/>
          <w:szCs w:val="24"/>
          <w:lang w:val="en-US"/>
        </w:rPr>
      </w:pPr>
      <w:r w:rsidRPr="00F26949">
        <w:rPr>
          <w:rFonts w:ascii="Times New Roman" w:eastAsia="Times New Roman" w:hAnsi="Times New Roman" w:cs="Times New Roman"/>
          <w:b/>
          <w:sz w:val="24"/>
          <w:szCs w:val="24"/>
          <w:lang w:val="en-US"/>
        </w:rPr>
        <w:t>Pallavi</w:t>
      </w:r>
      <w:r w:rsidRPr="00F26949">
        <w:rPr>
          <w:rFonts w:ascii="Times New Roman" w:eastAsia="Times New Roman" w:hAnsi="Times New Roman" w:cs="Times New Roman"/>
          <w:sz w:val="24"/>
          <w:szCs w:val="24"/>
          <w:lang w:val="en-US"/>
        </w:rPr>
        <w:t xml:space="preserve">: </w:t>
      </w:r>
      <w:r w:rsidR="00554EB9" w:rsidRPr="00554EB9">
        <w:rPr>
          <w:rFonts w:ascii="Times New Roman" w:eastAsia="Times New Roman" w:hAnsi="Times New Roman" w:cs="Times New Roman"/>
          <w:bCs/>
          <w:sz w:val="24"/>
          <w:szCs w:val="24"/>
          <w:lang w:val="en-US"/>
        </w:rPr>
        <w:t>Positive matrix factorization-based receptor modelling of particulate matter in northwest India</w:t>
      </w:r>
      <w:r w:rsidR="00554EB9">
        <w:rPr>
          <w:rFonts w:ascii="Times New Roman" w:eastAsia="Times New Roman" w:hAnsi="Times New Roman" w:cs="Times New Roman"/>
          <w:bCs/>
          <w:sz w:val="24"/>
          <w:szCs w:val="24"/>
          <w:lang w:val="en-US"/>
        </w:rPr>
        <w:t xml:space="preserve">, </w:t>
      </w:r>
      <w:r w:rsidR="00554EB9" w:rsidRPr="00554EB9">
        <w:rPr>
          <w:rFonts w:ascii="Times New Roman" w:eastAsia="Times New Roman" w:hAnsi="Times New Roman" w:cs="Times New Roman"/>
          <w:bCs/>
          <w:sz w:val="24"/>
          <w:szCs w:val="24"/>
          <w:lang w:val="en-US"/>
        </w:rPr>
        <w:t>Current Research in Environmental Sustainability</w:t>
      </w:r>
      <w:r w:rsidR="00554EB9">
        <w:rPr>
          <w:rFonts w:ascii="Times New Roman" w:eastAsia="Times New Roman" w:hAnsi="Times New Roman" w:cs="Times New Roman"/>
          <w:bCs/>
          <w:sz w:val="24"/>
          <w:szCs w:val="24"/>
          <w:lang w:val="en-US"/>
        </w:rPr>
        <w:t xml:space="preserve">. </w:t>
      </w:r>
      <w:r w:rsidR="00554EB9" w:rsidRPr="00554EB9">
        <w:rPr>
          <w:rFonts w:ascii="Times New Roman" w:eastAsia="Times New Roman" w:hAnsi="Times New Roman" w:cs="Times New Roman"/>
          <w:bCs/>
          <w:sz w:val="24"/>
          <w:szCs w:val="24"/>
          <w:lang w:val="en-US"/>
        </w:rPr>
        <w:t>https://doi.org/10.1016/j.crsust.2023.100233.</w:t>
      </w:r>
    </w:p>
    <w:p w14:paraId="5B6E65C6" w14:textId="77777777" w:rsidR="001A660D" w:rsidRPr="00F26949" w:rsidRDefault="001A660D" w:rsidP="008F219E">
      <w:pPr>
        <w:spacing w:after="0" w:line="360" w:lineRule="auto"/>
        <w:jc w:val="both"/>
        <w:rPr>
          <w:rFonts w:ascii="Times New Roman" w:eastAsia="Times New Roman" w:hAnsi="Times New Roman" w:cs="Times New Roman"/>
          <w:sz w:val="24"/>
          <w:szCs w:val="24"/>
          <w:lang w:val="en-US"/>
        </w:rPr>
      </w:pPr>
    </w:p>
    <w:p w14:paraId="3543350C" w14:textId="77777777" w:rsidR="001A660D" w:rsidRPr="00F26949" w:rsidRDefault="001A660D" w:rsidP="008F219E">
      <w:pPr>
        <w:spacing w:after="0" w:line="360" w:lineRule="auto"/>
        <w:jc w:val="both"/>
        <w:rPr>
          <w:rFonts w:ascii="Times New Roman" w:eastAsia="Times New Roman" w:hAnsi="Times New Roman" w:cs="Times New Roman"/>
          <w:sz w:val="24"/>
          <w:szCs w:val="24"/>
          <w:lang w:val="en-US"/>
        </w:rPr>
      </w:pPr>
      <w:r w:rsidRPr="00F26949">
        <w:rPr>
          <w:rFonts w:ascii="Times New Roman" w:eastAsia="Times New Roman" w:hAnsi="Times New Roman" w:cs="Times New Roman"/>
          <w:b/>
          <w:sz w:val="24"/>
          <w:szCs w:val="24"/>
          <w:lang w:val="en-US"/>
        </w:rPr>
        <w:t>Pallavi</w:t>
      </w:r>
      <w:r w:rsidRPr="00F26949">
        <w:rPr>
          <w:rFonts w:ascii="Times New Roman" w:eastAsia="Times New Roman" w:hAnsi="Times New Roman" w:cs="Times New Roman"/>
          <w:sz w:val="24"/>
          <w:szCs w:val="24"/>
          <w:lang w:val="en-US"/>
        </w:rPr>
        <w:t>, Sinha, B., and Sinha, V.: Source apportionment of volatile organic compounds in the northwest Indo-Gangetic Plain using a positive matrix factorization model, Atmos. Chem. Phys., 19, 15467–15482, https://doi.org/10.5194/acp-19-15467-2019, 2019.</w:t>
      </w:r>
    </w:p>
    <w:p w14:paraId="6E56D836" w14:textId="77777777" w:rsidR="001A660D" w:rsidRPr="00F26949" w:rsidRDefault="001A660D" w:rsidP="008F219E">
      <w:pPr>
        <w:spacing w:after="0" w:line="360" w:lineRule="auto"/>
        <w:jc w:val="both"/>
        <w:rPr>
          <w:rFonts w:ascii="Times New Roman" w:eastAsia="Times New Roman" w:hAnsi="Times New Roman" w:cs="Times New Roman"/>
          <w:sz w:val="24"/>
          <w:szCs w:val="24"/>
          <w:lang w:val="en-US"/>
        </w:rPr>
      </w:pPr>
    </w:p>
    <w:p w14:paraId="14B17B11" w14:textId="77777777" w:rsidR="001A660D" w:rsidRPr="00F26949" w:rsidRDefault="001A660D" w:rsidP="008F219E">
      <w:pPr>
        <w:spacing w:after="0" w:line="360" w:lineRule="auto"/>
        <w:jc w:val="both"/>
        <w:rPr>
          <w:rFonts w:ascii="Times New Roman" w:eastAsia="Times New Roman" w:hAnsi="Times New Roman" w:cs="Times New Roman"/>
          <w:bCs/>
          <w:sz w:val="24"/>
          <w:szCs w:val="24"/>
          <w:lang w:val="en-US"/>
        </w:rPr>
      </w:pPr>
      <w:r w:rsidRPr="00F26949">
        <w:rPr>
          <w:rFonts w:ascii="Times New Roman" w:eastAsia="Times New Roman" w:hAnsi="Times New Roman" w:cs="Times New Roman"/>
          <w:sz w:val="24"/>
          <w:szCs w:val="24"/>
          <w:lang w:val="en-US"/>
        </w:rPr>
        <w:t xml:space="preserve">Sharma, G., Sinha, B., </w:t>
      </w:r>
      <w:r w:rsidRPr="00F26949">
        <w:rPr>
          <w:rFonts w:ascii="Times New Roman" w:eastAsia="Times New Roman" w:hAnsi="Times New Roman" w:cs="Times New Roman"/>
          <w:b/>
          <w:sz w:val="24"/>
          <w:szCs w:val="24"/>
          <w:lang w:val="en-US"/>
        </w:rPr>
        <w:t>Pallavi</w:t>
      </w:r>
      <w:r w:rsidRPr="00F26949">
        <w:rPr>
          <w:rFonts w:ascii="Times New Roman" w:eastAsia="Times New Roman" w:hAnsi="Times New Roman" w:cs="Times New Roman"/>
          <w:sz w:val="24"/>
          <w:szCs w:val="24"/>
          <w:lang w:val="en-US"/>
        </w:rPr>
        <w:t>, Hakkim, H., Chandra, B. P., Kumar, A., and Sinha, V.,</w:t>
      </w:r>
      <w:r w:rsidRPr="00F26949">
        <w:rPr>
          <w:rFonts w:ascii="Times New Roman" w:eastAsia="Times New Roman" w:hAnsi="Times New Roman" w:cs="Times New Roman"/>
          <w:bCs/>
          <w:sz w:val="24"/>
          <w:szCs w:val="24"/>
          <w:lang w:val="en-US"/>
        </w:rPr>
        <w:t xml:space="preserve"> Gridded Emissions of CO, NO</w:t>
      </w:r>
      <w:r w:rsidRPr="00F26949">
        <w:rPr>
          <w:rFonts w:ascii="Times New Roman" w:eastAsia="Times New Roman" w:hAnsi="Times New Roman" w:cs="Times New Roman"/>
          <w:bCs/>
          <w:sz w:val="24"/>
          <w:szCs w:val="24"/>
          <w:vertAlign w:val="subscript"/>
          <w:lang w:val="en-US"/>
        </w:rPr>
        <w:t>x</w:t>
      </w:r>
      <w:r w:rsidRPr="00F26949">
        <w:rPr>
          <w:rFonts w:ascii="Times New Roman" w:eastAsia="Times New Roman" w:hAnsi="Times New Roman" w:cs="Times New Roman"/>
          <w:bCs/>
          <w:sz w:val="24"/>
          <w:szCs w:val="24"/>
          <w:lang w:val="en-US"/>
        </w:rPr>
        <w:t>, SO</w:t>
      </w:r>
      <w:r w:rsidRPr="00F26949">
        <w:rPr>
          <w:rFonts w:ascii="Times New Roman" w:eastAsia="Times New Roman" w:hAnsi="Times New Roman" w:cs="Times New Roman"/>
          <w:bCs/>
          <w:sz w:val="24"/>
          <w:szCs w:val="24"/>
          <w:vertAlign w:val="subscript"/>
          <w:lang w:val="en-US"/>
        </w:rPr>
        <w:t>2</w:t>
      </w:r>
      <w:r w:rsidRPr="00F26949">
        <w:rPr>
          <w:rFonts w:ascii="Times New Roman" w:eastAsia="Times New Roman" w:hAnsi="Times New Roman" w:cs="Times New Roman"/>
          <w:bCs/>
          <w:sz w:val="24"/>
          <w:szCs w:val="24"/>
          <w:lang w:val="en-US"/>
        </w:rPr>
        <w:t>, CO</w:t>
      </w:r>
      <w:r w:rsidRPr="00F26949">
        <w:rPr>
          <w:rFonts w:ascii="Times New Roman" w:eastAsia="Times New Roman" w:hAnsi="Times New Roman" w:cs="Times New Roman"/>
          <w:bCs/>
          <w:sz w:val="24"/>
          <w:szCs w:val="24"/>
          <w:vertAlign w:val="subscript"/>
          <w:lang w:val="en-US"/>
        </w:rPr>
        <w:t>2</w:t>
      </w:r>
      <w:r w:rsidRPr="00F26949">
        <w:rPr>
          <w:rFonts w:ascii="Times New Roman" w:eastAsia="Times New Roman" w:hAnsi="Times New Roman" w:cs="Times New Roman"/>
          <w:bCs/>
          <w:sz w:val="24"/>
          <w:szCs w:val="24"/>
          <w:lang w:val="en-US"/>
        </w:rPr>
        <w:t>, NH</w:t>
      </w:r>
      <w:r w:rsidRPr="00F26949">
        <w:rPr>
          <w:rFonts w:ascii="Times New Roman" w:eastAsia="Times New Roman" w:hAnsi="Times New Roman" w:cs="Times New Roman"/>
          <w:bCs/>
          <w:sz w:val="24"/>
          <w:szCs w:val="24"/>
          <w:vertAlign w:val="subscript"/>
          <w:lang w:val="en-US"/>
        </w:rPr>
        <w:t>3</w:t>
      </w:r>
      <w:r w:rsidRPr="00F26949">
        <w:rPr>
          <w:rFonts w:ascii="Times New Roman" w:eastAsia="Times New Roman" w:hAnsi="Times New Roman" w:cs="Times New Roman"/>
          <w:bCs/>
          <w:sz w:val="24"/>
          <w:szCs w:val="24"/>
          <w:lang w:val="en-US"/>
        </w:rPr>
        <w:t>, HCl, CH</w:t>
      </w:r>
      <w:r w:rsidRPr="00F26949">
        <w:rPr>
          <w:rFonts w:ascii="Times New Roman" w:eastAsia="Times New Roman" w:hAnsi="Times New Roman" w:cs="Times New Roman"/>
          <w:bCs/>
          <w:sz w:val="24"/>
          <w:szCs w:val="24"/>
          <w:vertAlign w:val="subscript"/>
          <w:lang w:val="en-US"/>
        </w:rPr>
        <w:t>4</w:t>
      </w:r>
      <w:r w:rsidRPr="00F26949">
        <w:rPr>
          <w:rFonts w:ascii="Times New Roman" w:eastAsia="Times New Roman" w:hAnsi="Times New Roman" w:cs="Times New Roman"/>
          <w:bCs/>
          <w:sz w:val="24"/>
          <w:szCs w:val="24"/>
          <w:lang w:val="en-US"/>
        </w:rPr>
        <w:t>, PM</w:t>
      </w:r>
      <w:r w:rsidRPr="00F26949">
        <w:rPr>
          <w:rFonts w:ascii="Times New Roman" w:eastAsia="Times New Roman" w:hAnsi="Times New Roman" w:cs="Times New Roman"/>
          <w:bCs/>
          <w:sz w:val="24"/>
          <w:szCs w:val="24"/>
          <w:vertAlign w:val="subscript"/>
          <w:lang w:val="en-US"/>
        </w:rPr>
        <w:t>2.5</w:t>
      </w:r>
      <w:r w:rsidRPr="00F26949">
        <w:rPr>
          <w:rFonts w:ascii="Times New Roman" w:eastAsia="Times New Roman" w:hAnsi="Times New Roman" w:cs="Times New Roman"/>
          <w:bCs/>
          <w:sz w:val="24"/>
          <w:szCs w:val="24"/>
          <w:lang w:val="en-US"/>
        </w:rPr>
        <w:t>, PM</w:t>
      </w:r>
      <w:r w:rsidRPr="00F26949">
        <w:rPr>
          <w:rFonts w:ascii="Times New Roman" w:eastAsia="Times New Roman" w:hAnsi="Times New Roman" w:cs="Times New Roman"/>
          <w:bCs/>
          <w:sz w:val="24"/>
          <w:szCs w:val="24"/>
          <w:vertAlign w:val="subscript"/>
          <w:lang w:val="en-US"/>
        </w:rPr>
        <w:t>10</w:t>
      </w:r>
      <w:r w:rsidRPr="00F26949">
        <w:rPr>
          <w:rFonts w:ascii="Times New Roman" w:eastAsia="Times New Roman" w:hAnsi="Times New Roman" w:cs="Times New Roman"/>
          <w:bCs/>
          <w:sz w:val="24"/>
          <w:szCs w:val="24"/>
          <w:lang w:val="en-US"/>
        </w:rPr>
        <w:t xml:space="preserve">, BC, and NMVOC from Open Municipal Waste Burning in India, </w:t>
      </w:r>
      <w:r w:rsidRPr="00F26949">
        <w:rPr>
          <w:rFonts w:ascii="Times New Roman" w:eastAsia="Times New Roman" w:hAnsi="Times New Roman" w:cs="Times New Roman"/>
          <w:iCs/>
          <w:sz w:val="24"/>
          <w:szCs w:val="24"/>
          <w:lang w:val="en-US"/>
        </w:rPr>
        <w:t>Environmental Science &amp; Technology</w:t>
      </w:r>
      <w:r w:rsidRPr="00F26949">
        <w:rPr>
          <w:rFonts w:ascii="Times New Roman" w:eastAsia="Times New Roman" w:hAnsi="Times New Roman" w:cs="Times New Roman"/>
          <w:sz w:val="24"/>
          <w:szCs w:val="24"/>
          <w:lang w:val="en-US"/>
        </w:rPr>
        <w:t xml:space="preserve">, </w:t>
      </w:r>
      <w:r w:rsidRPr="00F26949">
        <w:rPr>
          <w:rFonts w:ascii="Times New Roman" w:eastAsia="Times New Roman" w:hAnsi="Times New Roman" w:cs="Times New Roman"/>
          <w:iCs/>
          <w:sz w:val="24"/>
          <w:szCs w:val="24"/>
          <w:lang w:val="en-US"/>
        </w:rPr>
        <w:t>53</w:t>
      </w:r>
      <w:r w:rsidRPr="00F26949">
        <w:rPr>
          <w:rFonts w:ascii="Times New Roman" w:eastAsia="Times New Roman" w:hAnsi="Times New Roman" w:cs="Times New Roman"/>
          <w:sz w:val="24"/>
          <w:szCs w:val="24"/>
          <w:lang w:val="en-US"/>
        </w:rPr>
        <w:t> (9), 4765-4774,</w:t>
      </w:r>
      <w:r w:rsidRPr="00F26949">
        <w:rPr>
          <w:rFonts w:ascii="Times New Roman" w:eastAsia="Times New Roman" w:hAnsi="Times New Roman" w:cs="Times New Roman"/>
          <w:bCs/>
          <w:sz w:val="24"/>
          <w:szCs w:val="24"/>
          <w:lang w:val="en-US"/>
        </w:rPr>
        <w:t xml:space="preserve"> </w:t>
      </w:r>
      <w:r w:rsidRPr="00F26949">
        <w:rPr>
          <w:rFonts w:ascii="Times New Roman" w:eastAsia="Times New Roman" w:hAnsi="Times New Roman" w:cs="Times New Roman"/>
          <w:sz w:val="24"/>
          <w:szCs w:val="24"/>
          <w:lang w:val="en-US"/>
        </w:rPr>
        <w:t>https://doi.org/10.1021/acs.est.8b07076, 2019.</w:t>
      </w:r>
    </w:p>
    <w:p w14:paraId="77CB00EE" w14:textId="77777777" w:rsidR="001A660D" w:rsidRPr="00F26949" w:rsidRDefault="001A660D" w:rsidP="008F219E">
      <w:pPr>
        <w:spacing w:after="0" w:line="360" w:lineRule="auto"/>
        <w:jc w:val="both"/>
        <w:rPr>
          <w:rFonts w:ascii="Times New Roman" w:eastAsia="Times New Roman" w:hAnsi="Times New Roman" w:cs="Times New Roman"/>
          <w:sz w:val="24"/>
          <w:szCs w:val="24"/>
          <w:lang w:val="en-US"/>
        </w:rPr>
      </w:pPr>
    </w:p>
    <w:p w14:paraId="41EFAEC9" w14:textId="77777777" w:rsidR="001A660D" w:rsidRPr="00F26949" w:rsidRDefault="001A660D" w:rsidP="008F219E">
      <w:pPr>
        <w:spacing w:after="0" w:line="360" w:lineRule="auto"/>
        <w:jc w:val="both"/>
        <w:rPr>
          <w:rFonts w:ascii="Times New Roman" w:eastAsia="Times New Roman" w:hAnsi="Times New Roman" w:cs="Times New Roman"/>
          <w:sz w:val="24"/>
          <w:szCs w:val="24"/>
          <w:lang w:val="en-US"/>
        </w:rPr>
      </w:pPr>
      <w:r w:rsidRPr="00F26949">
        <w:rPr>
          <w:rFonts w:ascii="Times New Roman" w:eastAsia="Times New Roman" w:hAnsi="Times New Roman" w:cs="Times New Roman"/>
          <w:sz w:val="24"/>
          <w:szCs w:val="24"/>
          <w:lang w:val="en-US"/>
        </w:rPr>
        <w:t xml:space="preserve">Chandra, B. P., Sinha, V., Hakkim, H., Kumar, A., Pawar, H., Mishra, A. K., Sharma, G., </w:t>
      </w:r>
      <w:r w:rsidRPr="00F26949">
        <w:rPr>
          <w:rFonts w:ascii="Times New Roman" w:eastAsia="Times New Roman" w:hAnsi="Times New Roman" w:cs="Times New Roman"/>
          <w:b/>
          <w:sz w:val="24"/>
          <w:szCs w:val="24"/>
          <w:lang w:val="en-US"/>
        </w:rPr>
        <w:t>Pallavi</w:t>
      </w:r>
      <w:r w:rsidRPr="00F26949">
        <w:rPr>
          <w:rFonts w:ascii="Times New Roman" w:eastAsia="Times New Roman" w:hAnsi="Times New Roman" w:cs="Times New Roman"/>
          <w:sz w:val="24"/>
          <w:szCs w:val="24"/>
          <w:lang w:val="en-US"/>
        </w:rPr>
        <w:t xml:space="preserve">, Garg, S., Ghude, S. D., Chate, D. M, Pithani, P., Kulkarni, R., Jenamani, R. K., and Rajeevan, M., Odd-even traffic rule implementation during winter 2016 in Delhi did not reduce traffic emissions of VOCs, carbon dioxide, methane and carbon monoxide, Current Science, 114, 6, 1318-1325, https://doi.org/10.18520/cs/v114/i06/1318-1325, 2018. </w:t>
      </w:r>
    </w:p>
    <w:p w14:paraId="23112678" w14:textId="77777777" w:rsidR="001A660D" w:rsidRDefault="001A660D" w:rsidP="008F219E">
      <w:pPr>
        <w:spacing w:after="0" w:line="360" w:lineRule="auto"/>
        <w:jc w:val="both"/>
        <w:rPr>
          <w:rFonts w:ascii="Times New Roman" w:eastAsia="Times New Roman" w:hAnsi="Times New Roman" w:cs="Times New Roman"/>
          <w:b/>
          <w:sz w:val="40"/>
          <w:szCs w:val="40"/>
          <w:lang w:val="en-US"/>
        </w:rPr>
      </w:pPr>
    </w:p>
    <w:p w14:paraId="11406FDB" w14:textId="77777777" w:rsidR="001A660D" w:rsidRPr="00F26949" w:rsidRDefault="001A660D" w:rsidP="008F219E">
      <w:pPr>
        <w:spacing w:after="0" w:line="240" w:lineRule="auto"/>
        <w:jc w:val="both"/>
        <w:rPr>
          <w:rFonts w:ascii="Times New Roman" w:eastAsia="Times New Roman" w:hAnsi="Times New Roman" w:cs="Times New Roman"/>
          <w:b/>
          <w:sz w:val="40"/>
          <w:szCs w:val="40"/>
          <w:lang w:val="en-US"/>
        </w:rPr>
      </w:pPr>
    </w:p>
    <w:p w14:paraId="700FEF2F" w14:textId="77777777" w:rsidR="001A660D" w:rsidRPr="00F26949" w:rsidRDefault="001A660D" w:rsidP="008F219E">
      <w:pPr>
        <w:spacing w:after="0" w:line="240" w:lineRule="auto"/>
        <w:jc w:val="both"/>
        <w:rPr>
          <w:rFonts w:ascii="Times New Roman" w:eastAsia="Times New Roman" w:hAnsi="Times New Roman" w:cs="Times New Roman"/>
          <w:b/>
          <w:sz w:val="40"/>
          <w:szCs w:val="40"/>
          <w:lang w:val="en-US"/>
        </w:rPr>
      </w:pPr>
    </w:p>
    <w:p w14:paraId="2E57DAFB" w14:textId="77777777" w:rsidR="001A660D" w:rsidRPr="00F26949" w:rsidRDefault="001A660D" w:rsidP="008F219E">
      <w:pPr>
        <w:spacing w:after="0" w:line="240" w:lineRule="auto"/>
        <w:jc w:val="both"/>
        <w:rPr>
          <w:rFonts w:ascii="Times New Roman" w:eastAsia="Times New Roman" w:hAnsi="Times New Roman" w:cs="Times New Roman"/>
          <w:b/>
          <w:sz w:val="40"/>
          <w:szCs w:val="40"/>
          <w:lang w:val="en-US"/>
        </w:rPr>
      </w:pPr>
    </w:p>
    <w:p w14:paraId="7B78A13A" w14:textId="77777777" w:rsidR="001A660D" w:rsidRPr="00F26949" w:rsidRDefault="001A660D" w:rsidP="008F219E">
      <w:pPr>
        <w:spacing w:after="0" w:line="240" w:lineRule="auto"/>
        <w:jc w:val="both"/>
        <w:rPr>
          <w:rFonts w:ascii="Times New Roman" w:eastAsia="Times New Roman" w:hAnsi="Times New Roman" w:cs="Times New Roman"/>
          <w:b/>
          <w:sz w:val="40"/>
          <w:szCs w:val="40"/>
          <w:lang w:val="en-US"/>
        </w:rPr>
      </w:pPr>
    </w:p>
    <w:p w14:paraId="5DCE2A4D" w14:textId="77777777" w:rsidR="001A660D" w:rsidRPr="00F26949" w:rsidRDefault="001A660D" w:rsidP="008F219E">
      <w:pPr>
        <w:spacing w:after="0" w:line="240" w:lineRule="auto"/>
        <w:jc w:val="both"/>
        <w:rPr>
          <w:rFonts w:ascii="Times New Roman" w:eastAsia="Times New Roman" w:hAnsi="Times New Roman" w:cs="Times New Roman"/>
          <w:b/>
          <w:sz w:val="40"/>
          <w:szCs w:val="40"/>
          <w:lang w:val="en-US"/>
        </w:rPr>
      </w:pPr>
    </w:p>
    <w:p w14:paraId="4939AC1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48C635F"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8CD0C00"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D5249B2"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68E20881"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26D2AB5"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10C4688"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EFAB501"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2FEF340"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39C6E340"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1E08D19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35E32D3"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FD0AAB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6332BF38"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2CDEA7C7"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4D74E5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02E6342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46BAB70"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19CB76A"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3435322E"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7D2CBE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6CE62C4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53E3A5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F5140F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B3665B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0E95F2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3F4E34A"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24C072AA"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3DDF0620" w14:textId="77777777" w:rsidR="001A660D" w:rsidRDefault="001A660D" w:rsidP="008B0223">
      <w:pPr>
        <w:spacing w:after="0" w:line="240" w:lineRule="auto"/>
        <w:rPr>
          <w:rFonts w:ascii="Times New Roman" w:eastAsia="Times New Roman" w:hAnsi="Times New Roman" w:cs="Times New Roman"/>
          <w:b/>
          <w:sz w:val="40"/>
          <w:szCs w:val="40"/>
          <w:lang w:val="en-US"/>
        </w:rPr>
      </w:pPr>
    </w:p>
    <w:p w14:paraId="61DE9EB9" w14:textId="77777777" w:rsidR="008B0223" w:rsidRDefault="008B0223" w:rsidP="00311023">
      <w:pPr>
        <w:spacing w:after="0" w:line="240" w:lineRule="auto"/>
        <w:rPr>
          <w:rFonts w:ascii="Times New Roman" w:eastAsia="Times New Roman" w:hAnsi="Times New Roman" w:cs="Times New Roman"/>
          <w:b/>
          <w:sz w:val="40"/>
          <w:szCs w:val="40"/>
          <w:lang w:val="en-US"/>
        </w:rPr>
      </w:pPr>
    </w:p>
    <w:p w14:paraId="476DC131" w14:textId="77777777" w:rsidR="00311023" w:rsidRDefault="00311023" w:rsidP="00311023">
      <w:pPr>
        <w:spacing w:after="0" w:line="240" w:lineRule="auto"/>
        <w:rPr>
          <w:rFonts w:ascii="Times New Roman" w:eastAsia="Times New Roman" w:hAnsi="Times New Roman" w:cs="Times New Roman"/>
          <w:b/>
          <w:sz w:val="40"/>
          <w:szCs w:val="40"/>
          <w:lang w:val="en-US"/>
        </w:rPr>
      </w:pPr>
    </w:p>
    <w:p w14:paraId="486F3824" w14:textId="77777777" w:rsidR="00AA38E5" w:rsidRDefault="00AA38E5" w:rsidP="00311023">
      <w:pPr>
        <w:spacing w:after="0" w:line="240" w:lineRule="auto"/>
        <w:rPr>
          <w:rFonts w:ascii="Times New Roman" w:eastAsia="Times New Roman" w:hAnsi="Times New Roman" w:cs="Times New Roman"/>
          <w:b/>
          <w:sz w:val="40"/>
          <w:szCs w:val="40"/>
          <w:lang w:val="en-US"/>
        </w:rPr>
      </w:pPr>
    </w:p>
    <w:p w14:paraId="6825B8C2" w14:textId="77777777" w:rsidR="00AA38E5" w:rsidRPr="00FA58B9" w:rsidRDefault="00AA38E5" w:rsidP="00311023">
      <w:pPr>
        <w:spacing w:after="0" w:line="240" w:lineRule="auto"/>
        <w:rPr>
          <w:rFonts w:ascii="Times New Roman" w:eastAsia="Times New Roman" w:hAnsi="Times New Roman" w:cs="Times New Roman"/>
          <w:b/>
          <w:sz w:val="24"/>
          <w:szCs w:val="24"/>
          <w:lang w:val="en-US"/>
        </w:rPr>
      </w:pPr>
    </w:p>
    <w:p w14:paraId="169A6A2B" w14:textId="77777777" w:rsidR="008B0223" w:rsidRPr="00FA58B9" w:rsidRDefault="008B0223" w:rsidP="001A660D">
      <w:pPr>
        <w:spacing w:after="0" w:line="240" w:lineRule="auto"/>
        <w:jc w:val="center"/>
        <w:rPr>
          <w:rFonts w:ascii="Times New Roman" w:eastAsia="Times New Roman" w:hAnsi="Times New Roman" w:cs="Times New Roman"/>
          <w:b/>
          <w:sz w:val="24"/>
          <w:szCs w:val="24"/>
          <w:lang w:val="en-US"/>
        </w:rPr>
      </w:pPr>
    </w:p>
    <w:p w14:paraId="1B9DC4BE" w14:textId="6BD5B811" w:rsidR="001A660D" w:rsidRPr="00F26949" w:rsidRDefault="00723405" w:rsidP="001A660D">
      <w:pPr>
        <w:spacing w:after="0" w:line="240" w:lineRule="auto"/>
        <w:jc w:val="center"/>
        <w:rPr>
          <w:rFonts w:ascii="Times New Roman" w:eastAsia="Times New Roman" w:hAnsi="Times New Roman" w:cs="Times New Roman"/>
          <w:b/>
          <w:sz w:val="40"/>
          <w:szCs w:val="40"/>
          <w:lang w:val="en-US"/>
        </w:rPr>
      </w:pPr>
      <w:r>
        <w:rPr>
          <w:rFonts w:ascii="Times New Roman" w:eastAsia="Times New Roman" w:hAnsi="Times New Roman" w:cs="Times New Roman"/>
          <w:b/>
          <w:sz w:val="40"/>
          <w:szCs w:val="40"/>
          <w:lang w:val="en-US"/>
        </w:rPr>
        <w:t>Abstract</w:t>
      </w:r>
    </w:p>
    <w:p w14:paraId="0E9172A3" w14:textId="793615E3" w:rsidR="001A660D" w:rsidRDefault="001A660D" w:rsidP="001A660D">
      <w:pPr>
        <w:spacing w:after="0" w:line="240" w:lineRule="auto"/>
        <w:jc w:val="center"/>
        <w:rPr>
          <w:rFonts w:ascii="Times New Roman" w:eastAsia="Times New Roman" w:hAnsi="Times New Roman" w:cs="Times New Roman"/>
          <w:b/>
          <w:sz w:val="40"/>
          <w:szCs w:val="40"/>
          <w:lang w:val="en-US"/>
        </w:rPr>
      </w:pPr>
    </w:p>
    <w:p w14:paraId="2AF29DF3" w14:textId="77777777" w:rsidR="00FA58B9" w:rsidRPr="00FA58B9" w:rsidRDefault="00FA58B9" w:rsidP="001A660D">
      <w:pPr>
        <w:spacing w:after="0" w:line="240" w:lineRule="auto"/>
        <w:jc w:val="center"/>
        <w:rPr>
          <w:rFonts w:ascii="Times New Roman" w:eastAsia="Times New Roman" w:hAnsi="Times New Roman" w:cs="Times New Roman"/>
          <w:b/>
          <w:sz w:val="24"/>
          <w:szCs w:val="24"/>
          <w:lang w:val="en-US"/>
        </w:rPr>
      </w:pPr>
    </w:p>
    <w:p w14:paraId="7CE780DF" w14:textId="1F8B12DD" w:rsidR="001A660D" w:rsidRPr="001C7461" w:rsidRDefault="00465C10" w:rsidP="003060C8">
      <w:pPr>
        <w:spacing w:after="0" w:line="360" w:lineRule="auto"/>
        <w:jc w:val="both"/>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Air quality monitoring</w:t>
      </w:r>
      <w:r w:rsidR="001D07C1">
        <w:rPr>
          <w:rFonts w:ascii="Times New Roman" w:eastAsia="Times New Roman" w:hAnsi="Times New Roman" w:cs="Times New Roman"/>
          <w:bCs/>
          <w:sz w:val="24"/>
          <w:szCs w:val="24"/>
          <w:lang w:val="en-US"/>
        </w:rPr>
        <w:t xml:space="preserve">, </w:t>
      </w:r>
      <w:r>
        <w:rPr>
          <w:rFonts w:ascii="Times New Roman" w:eastAsia="Times New Roman" w:hAnsi="Times New Roman" w:cs="Times New Roman"/>
          <w:bCs/>
          <w:sz w:val="24"/>
          <w:szCs w:val="24"/>
          <w:lang w:val="en-US"/>
        </w:rPr>
        <w:t xml:space="preserve">devising management </w:t>
      </w:r>
      <w:r w:rsidR="001D07C1">
        <w:rPr>
          <w:rFonts w:ascii="Times New Roman" w:eastAsia="Times New Roman" w:hAnsi="Times New Roman" w:cs="Times New Roman"/>
          <w:bCs/>
          <w:sz w:val="24"/>
          <w:szCs w:val="24"/>
          <w:lang w:val="en-US"/>
        </w:rPr>
        <w:t xml:space="preserve">and mitigation </w:t>
      </w:r>
      <w:r>
        <w:rPr>
          <w:rFonts w:ascii="Times New Roman" w:eastAsia="Times New Roman" w:hAnsi="Times New Roman" w:cs="Times New Roman"/>
          <w:bCs/>
          <w:sz w:val="24"/>
          <w:szCs w:val="24"/>
          <w:lang w:val="en-US"/>
        </w:rPr>
        <w:t xml:space="preserve">strategies are critical to deal with the </w:t>
      </w:r>
      <w:r w:rsidR="005747FC">
        <w:rPr>
          <w:rFonts w:ascii="Times New Roman" w:eastAsia="Times New Roman" w:hAnsi="Times New Roman" w:cs="Times New Roman"/>
          <w:bCs/>
          <w:sz w:val="24"/>
          <w:szCs w:val="24"/>
          <w:lang w:val="en-US"/>
        </w:rPr>
        <w:t>ever-growing</w:t>
      </w:r>
      <w:r>
        <w:rPr>
          <w:rFonts w:ascii="Times New Roman" w:eastAsia="Times New Roman" w:hAnsi="Times New Roman" w:cs="Times New Roman"/>
          <w:bCs/>
          <w:sz w:val="24"/>
          <w:szCs w:val="24"/>
          <w:lang w:val="en-US"/>
        </w:rPr>
        <w:t xml:space="preserve"> problem of air pollution in India especially in the Indo-Gangetic Plains. </w:t>
      </w:r>
      <w:r w:rsidR="001C7461">
        <w:rPr>
          <w:rFonts w:ascii="Times New Roman" w:eastAsia="Times New Roman" w:hAnsi="Times New Roman" w:cs="Times New Roman"/>
          <w:bCs/>
          <w:sz w:val="24"/>
          <w:szCs w:val="24"/>
          <w:lang w:val="en-US"/>
        </w:rPr>
        <w:t xml:space="preserve">This thesis work provides </w:t>
      </w:r>
      <w:r>
        <w:rPr>
          <w:rFonts w:ascii="Times New Roman" w:eastAsia="Times New Roman" w:hAnsi="Times New Roman" w:cs="Times New Roman"/>
          <w:bCs/>
          <w:sz w:val="24"/>
          <w:szCs w:val="24"/>
          <w:lang w:val="en-US"/>
        </w:rPr>
        <w:t xml:space="preserve">results of source apportionment studies performed for </w:t>
      </w:r>
      <w:r w:rsidR="00307BDA">
        <w:rPr>
          <w:rFonts w:ascii="Times New Roman" w:eastAsia="Times New Roman" w:hAnsi="Times New Roman" w:cs="Times New Roman"/>
          <w:bCs/>
          <w:sz w:val="24"/>
          <w:szCs w:val="24"/>
          <w:lang w:val="en-US"/>
        </w:rPr>
        <w:t xml:space="preserve">volatile organic compounds and particulate matter in </w:t>
      </w:r>
      <w:r>
        <w:rPr>
          <w:rFonts w:ascii="Times New Roman" w:eastAsia="Times New Roman" w:hAnsi="Times New Roman" w:cs="Times New Roman"/>
          <w:bCs/>
          <w:sz w:val="24"/>
          <w:szCs w:val="24"/>
          <w:lang w:val="en-US"/>
        </w:rPr>
        <w:t>an un</w:t>
      </w:r>
      <w:r w:rsidR="00307BDA">
        <w:rPr>
          <w:rFonts w:ascii="Times New Roman" w:eastAsia="Times New Roman" w:hAnsi="Times New Roman" w:cs="Times New Roman"/>
          <w:bCs/>
          <w:sz w:val="24"/>
          <w:szCs w:val="24"/>
          <w:lang w:val="en-US"/>
        </w:rPr>
        <w:t xml:space="preserve">derstudied environment in the </w:t>
      </w:r>
      <w:r w:rsidR="00160DA0">
        <w:rPr>
          <w:rFonts w:ascii="Times New Roman" w:eastAsia="Times New Roman" w:hAnsi="Times New Roman" w:cs="Times New Roman"/>
          <w:bCs/>
          <w:sz w:val="24"/>
          <w:szCs w:val="24"/>
          <w:lang w:val="en-US"/>
        </w:rPr>
        <w:t>n</w:t>
      </w:r>
      <w:r w:rsidR="00307BDA">
        <w:rPr>
          <w:rFonts w:ascii="Times New Roman" w:eastAsia="Times New Roman" w:hAnsi="Times New Roman" w:cs="Times New Roman"/>
          <w:bCs/>
          <w:sz w:val="24"/>
          <w:szCs w:val="24"/>
          <w:lang w:val="en-US"/>
        </w:rPr>
        <w:t>orthwest Indo-Gangetic Plain in summer month of 2012 using positive matrix factorization model</w:t>
      </w:r>
      <w:r w:rsidR="001D07C1">
        <w:rPr>
          <w:rFonts w:ascii="Times New Roman" w:eastAsia="Times New Roman" w:hAnsi="Times New Roman" w:cs="Times New Roman"/>
          <w:bCs/>
          <w:sz w:val="24"/>
          <w:szCs w:val="24"/>
          <w:lang w:val="en-US"/>
        </w:rPr>
        <w:t xml:space="preserve"> (US EPA PMF 5.0 model)</w:t>
      </w:r>
      <w:r w:rsidR="00307BDA">
        <w:rPr>
          <w:rFonts w:ascii="Times New Roman" w:eastAsia="Times New Roman" w:hAnsi="Times New Roman" w:cs="Times New Roman"/>
          <w:bCs/>
          <w:sz w:val="24"/>
          <w:szCs w:val="24"/>
          <w:lang w:val="en-US"/>
        </w:rPr>
        <w:t xml:space="preserve">. </w:t>
      </w:r>
      <w:r w:rsidR="00F16CA0">
        <w:rPr>
          <w:rFonts w:ascii="Times New Roman" w:eastAsia="Times New Roman" w:hAnsi="Times New Roman" w:cs="Times New Roman"/>
          <w:bCs/>
          <w:sz w:val="24"/>
          <w:szCs w:val="24"/>
          <w:lang w:val="en-US"/>
        </w:rPr>
        <w:t xml:space="preserve">The study </w:t>
      </w:r>
      <w:r w:rsidR="00307BDA">
        <w:rPr>
          <w:rFonts w:ascii="Times New Roman" w:eastAsia="Times New Roman" w:hAnsi="Times New Roman" w:cs="Times New Roman"/>
          <w:bCs/>
          <w:sz w:val="24"/>
          <w:szCs w:val="24"/>
          <w:lang w:val="en-US"/>
        </w:rPr>
        <w:t>provides a comprehensive picture of the sources</w:t>
      </w:r>
      <w:r w:rsidR="0047430F">
        <w:rPr>
          <w:rFonts w:ascii="Times New Roman" w:eastAsia="Times New Roman" w:hAnsi="Times New Roman" w:cs="Times New Roman"/>
          <w:bCs/>
          <w:sz w:val="24"/>
          <w:szCs w:val="24"/>
          <w:lang w:val="en-US"/>
        </w:rPr>
        <w:t xml:space="preserve"> responsible for causing </w:t>
      </w:r>
      <w:r w:rsidR="00A63658">
        <w:rPr>
          <w:rFonts w:ascii="Times New Roman" w:eastAsia="Times New Roman" w:hAnsi="Times New Roman" w:cs="Times New Roman"/>
          <w:bCs/>
          <w:sz w:val="24"/>
          <w:szCs w:val="24"/>
          <w:lang w:val="en-US"/>
        </w:rPr>
        <w:t xml:space="preserve">volatile organic </w:t>
      </w:r>
      <w:r w:rsidR="00DC0AF2">
        <w:rPr>
          <w:rFonts w:ascii="Times New Roman" w:eastAsia="Times New Roman" w:hAnsi="Times New Roman" w:cs="Times New Roman"/>
          <w:bCs/>
          <w:sz w:val="24"/>
          <w:szCs w:val="24"/>
          <w:lang w:val="en-US"/>
        </w:rPr>
        <w:t>compounds</w:t>
      </w:r>
      <w:r w:rsidR="0047430F">
        <w:rPr>
          <w:rFonts w:ascii="Times New Roman" w:eastAsia="Times New Roman" w:hAnsi="Times New Roman" w:cs="Times New Roman"/>
          <w:bCs/>
          <w:sz w:val="24"/>
          <w:szCs w:val="24"/>
          <w:lang w:val="en-US"/>
        </w:rPr>
        <w:t xml:space="preserve"> and particle pollution in and around Mohali</w:t>
      </w:r>
      <w:r w:rsidR="00906CAB">
        <w:rPr>
          <w:rFonts w:ascii="Times New Roman" w:eastAsia="Times New Roman" w:hAnsi="Times New Roman" w:cs="Times New Roman"/>
          <w:bCs/>
          <w:sz w:val="24"/>
          <w:szCs w:val="24"/>
          <w:lang w:val="en-US"/>
        </w:rPr>
        <w:t>,</w:t>
      </w:r>
      <w:r w:rsidR="007D3307">
        <w:rPr>
          <w:rFonts w:ascii="Times New Roman" w:eastAsia="Times New Roman" w:hAnsi="Times New Roman" w:cs="Times New Roman"/>
          <w:bCs/>
          <w:sz w:val="24"/>
          <w:szCs w:val="24"/>
          <w:lang w:val="en-US"/>
        </w:rPr>
        <w:t xml:space="preserve"> including the </w:t>
      </w:r>
      <w:r w:rsidR="00160DA0">
        <w:rPr>
          <w:rFonts w:ascii="Times New Roman" w:eastAsia="Times New Roman" w:hAnsi="Times New Roman" w:cs="Times New Roman"/>
          <w:bCs/>
          <w:sz w:val="24"/>
          <w:szCs w:val="24"/>
          <w:lang w:val="en-US"/>
        </w:rPr>
        <w:t xml:space="preserve">PMF </w:t>
      </w:r>
      <w:r w:rsidR="007D3307">
        <w:rPr>
          <w:rFonts w:ascii="Times New Roman" w:eastAsia="Times New Roman" w:hAnsi="Times New Roman" w:cs="Times New Roman"/>
          <w:bCs/>
          <w:sz w:val="24"/>
          <w:szCs w:val="24"/>
          <w:lang w:val="en-US"/>
        </w:rPr>
        <w:t>modelled factors, real source sample fingerprints collected at various sites and their comparison with the source/ source contributions from global and regional emission inventor</w:t>
      </w:r>
      <w:r w:rsidR="00906CAB">
        <w:rPr>
          <w:rFonts w:ascii="Times New Roman" w:eastAsia="Times New Roman" w:hAnsi="Times New Roman" w:cs="Times New Roman"/>
          <w:bCs/>
          <w:sz w:val="24"/>
          <w:szCs w:val="24"/>
          <w:lang w:val="en-US"/>
        </w:rPr>
        <w:t>i</w:t>
      </w:r>
      <w:r w:rsidR="007D3307">
        <w:rPr>
          <w:rFonts w:ascii="Times New Roman" w:eastAsia="Times New Roman" w:hAnsi="Times New Roman" w:cs="Times New Roman"/>
          <w:bCs/>
          <w:sz w:val="24"/>
          <w:szCs w:val="24"/>
          <w:lang w:val="en-US"/>
        </w:rPr>
        <w:t>es</w:t>
      </w:r>
      <w:r w:rsidR="00160DA0">
        <w:rPr>
          <w:rFonts w:ascii="Times New Roman" w:eastAsia="Times New Roman" w:hAnsi="Times New Roman" w:cs="Times New Roman"/>
          <w:bCs/>
          <w:sz w:val="24"/>
          <w:szCs w:val="24"/>
          <w:lang w:val="en-US"/>
        </w:rPr>
        <w:t xml:space="preserve"> like EDGAR, REAS and GAINS</w:t>
      </w:r>
      <w:r w:rsidR="007D3307">
        <w:rPr>
          <w:rFonts w:ascii="Times New Roman" w:eastAsia="Times New Roman" w:hAnsi="Times New Roman" w:cs="Times New Roman"/>
          <w:bCs/>
          <w:sz w:val="24"/>
          <w:szCs w:val="24"/>
          <w:lang w:val="en-US"/>
        </w:rPr>
        <w:t>.</w:t>
      </w:r>
      <w:r w:rsidR="000609D1">
        <w:rPr>
          <w:rFonts w:ascii="Times New Roman" w:eastAsia="Times New Roman" w:hAnsi="Times New Roman" w:cs="Times New Roman"/>
          <w:bCs/>
          <w:sz w:val="24"/>
          <w:szCs w:val="24"/>
          <w:lang w:val="en-US"/>
        </w:rPr>
        <w:t xml:space="preserve"> Source directionality is also determined using conditional probability function plots. </w:t>
      </w:r>
      <w:r w:rsidR="000305D2">
        <w:rPr>
          <w:rFonts w:ascii="Times New Roman" w:eastAsia="Times New Roman" w:hAnsi="Times New Roman" w:cs="Times New Roman"/>
          <w:bCs/>
          <w:sz w:val="24"/>
          <w:szCs w:val="24"/>
          <w:lang w:val="en-US"/>
        </w:rPr>
        <w:t>T</w:t>
      </w:r>
      <w:r w:rsidR="000305D2" w:rsidRPr="000305D2">
        <w:rPr>
          <w:rFonts w:ascii="Times New Roman" w:eastAsia="Times New Roman" w:hAnsi="Times New Roman" w:cs="Times New Roman"/>
          <w:bCs/>
          <w:sz w:val="24"/>
          <w:szCs w:val="24"/>
          <w:lang w:val="en-US"/>
        </w:rPr>
        <w:t xml:space="preserve">otal </w:t>
      </w:r>
      <w:r w:rsidR="00DC0AF2">
        <w:rPr>
          <w:rFonts w:ascii="Times New Roman" w:eastAsia="Times New Roman" w:hAnsi="Times New Roman" w:cs="Times New Roman"/>
          <w:bCs/>
          <w:sz w:val="24"/>
          <w:szCs w:val="24"/>
          <w:lang w:val="en-US"/>
        </w:rPr>
        <w:t>v</w:t>
      </w:r>
      <w:r w:rsidR="00DC0AF2" w:rsidRPr="00DC0AF2">
        <w:rPr>
          <w:rFonts w:ascii="Times New Roman" w:eastAsia="Times New Roman" w:hAnsi="Times New Roman" w:cs="Times New Roman"/>
          <w:bCs/>
          <w:sz w:val="24"/>
          <w:szCs w:val="24"/>
          <w:lang w:val="en-US"/>
        </w:rPr>
        <w:t xml:space="preserve">olatile organic compound </w:t>
      </w:r>
      <w:r w:rsidR="00DC0AF2">
        <w:rPr>
          <w:rFonts w:ascii="Times New Roman" w:eastAsia="Times New Roman" w:hAnsi="Times New Roman" w:cs="Times New Roman"/>
          <w:bCs/>
          <w:sz w:val="24"/>
          <w:szCs w:val="24"/>
          <w:lang w:val="en-US"/>
        </w:rPr>
        <w:t>(</w:t>
      </w:r>
      <w:r w:rsidR="000305D2" w:rsidRPr="000305D2">
        <w:rPr>
          <w:rFonts w:ascii="Times New Roman" w:eastAsia="Times New Roman" w:hAnsi="Times New Roman" w:cs="Times New Roman"/>
          <w:bCs/>
          <w:sz w:val="24"/>
          <w:szCs w:val="24"/>
          <w:lang w:val="en-US"/>
        </w:rPr>
        <w:t>VOC</w:t>
      </w:r>
      <w:r w:rsidR="00DC0AF2">
        <w:rPr>
          <w:rFonts w:ascii="Times New Roman" w:eastAsia="Times New Roman" w:hAnsi="Times New Roman" w:cs="Times New Roman"/>
          <w:bCs/>
          <w:sz w:val="24"/>
          <w:szCs w:val="24"/>
          <w:lang w:val="en-US"/>
        </w:rPr>
        <w:t>)</w:t>
      </w:r>
      <w:r w:rsidR="000305D2" w:rsidRPr="000305D2">
        <w:rPr>
          <w:rFonts w:ascii="Times New Roman" w:eastAsia="Times New Roman" w:hAnsi="Times New Roman" w:cs="Times New Roman"/>
          <w:bCs/>
          <w:sz w:val="24"/>
          <w:szCs w:val="24"/>
          <w:lang w:val="en-US"/>
        </w:rPr>
        <w:t xml:space="preserve"> burden</w:t>
      </w:r>
      <w:r w:rsidR="000305D2">
        <w:rPr>
          <w:rFonts w:ascii="Times New Roman" w:eastAsia="Times New Roman" w:hAnsi="Times New Roman" w:cs="Times New Roman"/>
          <w:bCs/>
          <w:sz w:val="24"/>
          <w:szCs w:val="24"/>
          <w:lang w:val="en-US"/>
        </w:rPr>
        <w:t xml:space="preserve"> at the site </w:t>
      </w:r>
      <w:r w:rsidR="00160DA0">
        <w:rPr>
          <w:rFonts w:ascii="Times New Roman" w:eastAsia="Times New Roman" w:hAnsi="Times New Roman" w:cs="Times New Roman"/>
          <w:bCs/>
          <w:sz w:val="24"/>
          <w:szCs w:val="24"/>
          <w:lang w:val="en-US"/>
        </w:rPr>
        <w:t>i</w:t>
      </w:r>
      <w:r w:rsidR="003060C8">
        <w:rPr>
          <w:rFonts w:ascii="Times New Roman" w:eastAsia="Times New Roman" w:hAnsi="Times New Roman" w:cs="Times New Roman"/>
          <w:bCs/>
          <w:sz w:val="24"/>
          <w:szCs w:val="24"/>
          <w:lang w:val="en-US"/>
        </w:rPr>
        <w:t>s</w:t>
      </w:r>
      <w:r w:rsidR="000305D2">
        <w:rPr>
          <w:rFonts w:ascii="Times New Roman" w:eastAsia="Times New Roman" w:hAnsi="Times New Roman" w:cs="Times New Roman"/>
          <w:bCs/>
          <w:sz w:val="24"/>
          <w:szCs w:val="24"/>
          <w:lang w:val="en-US"/>
        </w:rPr>
        <w:t xml:space="preserve"> explained by the following sources</w:t>
      </w:r>
      <w:r w:rsidR="00344D74">
        <w:rPr>
          <w:rFonts w:ascii="Times New Roman" w:eastAsia="Times New Roman" w:hAnsi="Times New Roman" w:cs="Times New Roman"/>
          <w:bCs/>
          <w:sz w:val="24"/>
          <w:szCs w:val="24"/>
          <w:lang w:val="en-US"/>
        </w:rPr>
        <w:t>:</w:t>
      </w:r>
      <w:r w:rsidR="000305D2" w:rsidRPr="000305D2">
        <w:rPr>
          <w:rFonts w:ascii="Times New Roman" w:eastAsia="Times New Roman" w:hAnsi="Times New Roman" w:cs="Times New Roman"/>
          <w:bCs/>
          <w:sz w:val="24"/>
          <w:szCs w:val="24"/>
          <w:lang w:val="en-US"/>
        </w:rPr>
        <w:t xml:space="preserve"> “biofuel use and waste disposal” (23.2 %),</w:t>
      </w:r>
      <w:r w:rsidR="000305D2">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“wheat-residue burning”</w:t>
      </w:r>
      <w:r w:rsidR="00855731">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(22.4 %), “cars” (16.2 %), “mixed</w:t>
      </w:r>
      <w:r w:rsidR="000305D2">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daytime sources”</w:t>
      </w:r>
      <w:r w:rsidR="00855731">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(15.7 %) “industrial emissions and solvent</w:t>
      </w:r>
      <w:r w:rsidR="000305D2">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use”</w:t>
      </w:r>
      <w:r w:rsidR="00855731">
        <w:rPr>
          <w:rFonts w:ascii="Times New Roman" w:eastAsia="Times New Roman" w:hAnsi="Times New Roman" w:cs="Times New Roman"/>
          <w:bCs/>
          <w:sz w:val="24"/>
          <w:szCs w:val="24"/>
          <w:lang w:val="en-US"/>
        </w:rPr>
        <w:t xml:space="preserve"> </w:t>
      </w:r>
      <w:r w:rsidR="000305D2" w:rsidRPr="000305D2">
        <w:rPr>
          <w:rFonts w:ascii="Times New Roman" w:eastAsia="Times New Roman" w:hAnsi="Times New Roman" w:cs="Times New Roman"/>
          <w:bCs/>
          <w:sz w:val="24"/>
          <w:szCs w:val="24"/>
          <w:lang w:val="en-US"/>
        </w:rPr>
        <w:t>(11.8 %), and “two-wheelers” (8.6 %).</w:t>
      </w:r>
      <w:r w:rsidR="003060C8">
        <w:rPr>
          <w:rFonts w:ascii="Times New Roman" w:eastAsia="Times New Roman" w:hAnsi="Times New Roman" w:cs="Times New Roman"/>
          <w:bCs/>
          <w:sz w:val="24"/>
          <w:szCs w:val="24"/>
          <w:lang w:val="en-US"/>
        </w:rPr>
        <w:t xml:space="preserve"> And top three sources contributing </w:t>
      </w:r>
      <w:r w:rsidR="003060C8" w:rsidRPr="003060C8">
        <w:rPr>
          <w:rFonts w:ascii="Times New Roman" w:eastAsia="Times New Roman" w:hAnsi="Times New Roman" w:cs="Times New Roman"/>
          <w:bCs/>
          <w:sz w:val="24"/>
          <w:szCs w:val="24"/>
          <w:lang w:val="en-US"/>
        </w:rPr>
        <w:t>to PM</w:t>
      </w:r>
      <w:r w:rsidR="003060C8" w:rsidRPr="003060C8">
        <w:rPr>
          <w:rFonts w:ascii="Times New Roman" w:eastAsia="Times New Roman" w:hAnsi="Times New Roman" w:cs="Times New Roman"/>
          <w:bCs/>
          <w:sz w:val="24"/>
          <w:szCs w:val="24"/>
          <w:vertAlign w:val="subscript"/>
          <w:lang w:val="en-US"/>
        </w:rPr>
        <w:t>10</w:t>
      </w:r>
      <w:r w:rsidR="003060C8" w:rsidRPr="003060C8">
        <w:rPr>
          <w:rFonts w:ascii="Times New Roman" w:eastAsia="Times New Roman" w:hAnsi="Times New Roman" w:cs="Times New Roman"/>
          <w:bCs/>
          <w:sz w:val="24"/>
          <w:szCs w:val="24"/>
          <w:lang w:val="en-US"/>
        </w:rPr>
        <w:t xml:space="preserve"> and</w:t>
      </w:r>
      <w:r w:rsidR="003060C8">
        <w:rPr>
          <w:rFonts w:ascii="Times New Roman" w:eastAsia="Times New Roman" w:hAnsi="Times New Roman" w:cs="Times New Roman"/>
          <w:bCs/>
          <w:sz w:val="24"/>
          <w:szCs w:val="24"/>
          <w:lang w:val="en-US"/>
        </w:rPr>
        <w:t xml:space="preserve"> </w:t>
      </w:r>
      <w:r w:rsidR="003060C8" w:rsidRPr="003060C8">
        <w:rPr>
          <w:rFonts w:ascii="Times New Roman" w:eastAsia="Times New Roman" w:hAnsi="Times New Roman" w:cs="Times New Roman"/>
          <w:bCs/>
          <w:sz w:val="24"/>
          <w:szCs w:val="24"/>
          <w:lang w:val="en-US"/>
        </w:rPr>
        <w:t>PM</w:t>
      </w:r>
      <w:r w:rsidR="003060C8" w:rsidRPr="003060C8">
        <w:rPr>
          <w:rFonts w:ascii="Times New Roman" w:eastAsia="Times New Roman" w:hAnsi="Times New Roman" w:cs="Times New Roman"/>
          <w:bCs/>
          <w:sz w:val="24"/>
          <w:szCs w:val="24"/>
          <w:vertAlign w:val="subscript"/>
          <w:lang w:val="en-US"/>
        </w:rPr>
        <w:t xml:space="preserve">2.5 </w:t>
      </w:r>
      <w:r w:rsidR="003060C8" w:rsidRPr="003060C8">
        <w:rPr>
          <w:rFonts w:ascii="Times New Roman" w:eastAsia="Times New Roman" w:hAnsi="Times New Roman" w:cs="Times New Roman"/>
          <w:bCs/>
          <w:sz w:val="24"/>
          <w:szCs w:val="24"/>
          <w:lang w:val="en-US"/>
        </w:rPr>
        <w:t>mass loadings</w:t>
      </w:r>
      <w:r w:rsidR="003060C8">
        <w:rPr>
          <w:rFonts w:ascii="Times New Roman" w:eastAsia="Times New Roman" w:hAnsi="Times New Roman" w:cs="Times New Roman"/>
          <w:bCs/>
          <w:sz w:val="24"/>
          <w:szCs w:val="24"/>
          <w:lang w:val="en-US"/>
        </w:rPr>
        <w:t xml:space="preserve"> </w:t>
      </w:r>
      <w:r w:rsidR="00344D74">
        <w:rPr>
          <w:rFonts w:ascii="Times New Roman" w:eastAsia="Times New Roman" w:hAnsi="Times New Roman" w:cs="Times New Roman"/>
          <w:bCs/>
          <w:sz w:val="24"/>
          <w:szCs w:val="24"/>
          <w:lang w:val="en-US"/>
        </w:rPr>
        <w:t>at the receptor si</w:t>
      </w:r>
      <w:r w:rsidR="007C7065">
        <w:rPr>
          <w:rFonts w:ascii="Times New Roman" w:eastAsia="Times New Roman" w:hAnsi="Times New Roman" w:cs="Times New Roman"/>
          <w:bCs/>
          <w:sz w:val="24"/>
          <w:szCs w:val="24"/>
          <w:lang w:val="en-US"/>
        </w:rPr>
        <w:t>t</w:t>
      </w:r>
      <w:r w:rsidR="00344D74">
        <w:rPr>
          <w:rFonts w:ascii="Times New Roman" w:eastAsia="Times New Roman" w:hAnsi="Times New Roman" w:cs="Times New Roman"/>
          <w:bCs/>
          <w:sz w:val="24"/>
          <w:szCs w:val="24"/>
          <w:lang w:val="en-US"/>
        </w:rPr>
        <w:t xml:space="preserve">e </w:t>
      </w:r>
      <w:r w:rsidR="00160DA0">
        <w:rPr>
          <w:rFonts w:ascii="Times New Roman" w:eastAsia="Times New Roman" w:hAnsi="Times New Roman" w:cs="Times New Roman"/>
          <w:bCs/>
          <w:sz w:val="24"/>
          <w:szCs w:val="24"/>
          <w:lang w:val="en-US"/>
        </w:rPr>
        <w:t>are</w:t>
      </w:r>
      <w:r w:rsidR="003060C8">
        <w:rPr>
          <w:rFonts w:ascii="Times New Roman" w:eastAsia="Times New Roman" w:hAnsi="Times New Roman" w:cs="Times New Roman"/>
          <w:bCs/>
          <w:sz w:val="24"/>
          <w:szCs w:val="24"/>
          <w:lang w:val="en-US"/>
        </w:rPr>
        <w:t xml:space="preserve"> identified as “dust” (</w:t>
      </w:r>
      <w:r w:rsidR="0080788E">
        <w:rPr>
          <w:rFonts w:ascii="Times New Roman" w:eastAsia="Times New Roman" w:hAnsi="Times New Roman" w:cs="Times New Roman"/>
          <w:bCs/>
          <w:sz w:val="24"/>
          <w:szCs w:val="24"/>
          <w:lang w:val="en-US"/>
        </w:rPr>
        <w:t>49% - 34%</w:t>
      </w:r>
      <w:r w:rsidR="003060C8">
        <w:rPr>
          <w:rFonts w:ascii="Times New Roman" w:eastAsia="Times New Roman" w:hAnsi="Times New Roman" w:cs="Times New Roman"/>
          <w:bCs/>
          <w:sz w:val="24"/>
          <w:szCs w:val="24"/>
          <w:lang w:val="en-US"/>
        </w:rPr>
        <w:t xml:space="preserve">), </w:t>
      </w:r>
      <w:r w:rsidR="003060C8" w:rsidRPr="000305D2">
        <w:rPr>
          <w:rFonts w:ascii="Times New Roman" w:eastAsia="Times New Roman" w:hAnsi="Times New Roman" w:cs="Times New Roman"/>
          <w:bCs/>
          <w:sz w:val="24"/>
          <w:szCs w:val="24"/>
          <w:lang w:val="en-US"/>
        </w:rPr>
        <w:t>“wheat-residue burning”</w:t>
      </w:r>
      <w:r w:rsidR="003060C8">
        <w:rPr>
          <w:rFonts w:ascii="Times New Roman" w:eastAsia="Times New Roman" w:hAnsi="Times New Roman" w:cs="Times New Roman"/>
          <w:bCs/>
          <w:sz w:val="24"/>
          <w:szCs w:val="24"/>
          <w:lang w:val="en-US"/>
        </w:rPr>
        <w:t xml:space="preserve"> </w:t>
      </w:r>
      <w:r w:rsidR="003060C8" w:rsidRPr="000305D2">
        <w:rPr>
          <w:rFonts w:ascii="Times New Roman" w:eastAsia="Times New Roman" w:hAnsi="Times New Roman" w:cs="Times New Roman"/>
          <w:bCs/>
          <w:sz w:val="24"/>
          <w:szCs w:val="24"/>
          <w:lang w:val="en-US"/>
        </w:rPr>
        <w:t>(</w:t>
      </w:r>
      <w:r w:rsidR="0080788E">
        <w:rPr>
          <w:rFonts w:ascii="Times New Roman" w:eastAsia="Times New Roman" w:hAnsi="Times New Roman" w:cs="Times New Roman"/>
          <w:bCs/>
          <w:sz w:val="24"/>
          <w:szCs w:val="24"/>
          <w:lang w:val="en-US"/>
        </w:rPr>
        <w:t>20% - 23%</w:t>
      </w:r>
      <w:r w:rsidR="003060C8">
        <w:rPr>
          <w:rFonts w:ascii="Times New Roman" w:eastAsia="Times New Roman" w:hAnsi="Times New Roman" w:cs="Times New Roman"/>
          <w:bCs/>
          <w:sz w:val="24"/>
          <w:szCs w:val="24"/>
          <w:lang w:val="en-US"/>
        </w:rPr>
        <w:t xml:space="preserve">) and </w:t>
      </w:r>
      <w:r w:rsidR="003060C8" w:rsidRPr="000305D2">
        <w:rPr>
          <w:rFonts w:ascii="Times New Roman" w:eastAsia="Times New Roman" w:hAnsi="Times New Roman" w:cs="Times New Roman"/>
          <w:bCs/>
          <w:sz w:val="24"/>
          <w:szCs w:val="24"/>
          <w:lang w:val="en-US"/>
        </w:rPr>
        <w:t>“biofuel use and waste disposal” (</w:t>
      </w:r>
      <w:r w:rsidR="0080788E">
        <w:rPr>
          <w:rFonts w:ascii="Times New Roman" w:eastAsia="Times New Roman" w:hAnsi="Times New Roman" w:cs="Times New Roman"/>
          <w:bCs/>
          <w:sz w:val="24"/>
          <w:szCs w:val="24"/>
          <w:lang w:val="en-US"/>
        </w:rPr>
        <w:t>16% - 29%</w:t>
      </w:r>
      <w:r w:rsidR="003060C8">
        <w:rPr>
          <w:rFonts w:ascii="Times New Roman" w:eastAsia="Times New Roman" w:hAnsi="Times New Roman" w:cs="Times New Roman"/>
          <w:bCs/>
          <w:sz w:val="24"/>
          <w:szCs w:val="24"/>
          <w:lang w:val="en-US"/>
        </w:rPr>
        <w:t xml:space="preserve">). Apart from the </w:t>
      </w:r>
      <w:r w:rsidR="00BE4ED1">
        <w:rPr>
          <w:rFonts w:ascii="Times New Roman" w:eastAsia="Times New Roman" w:hAnsi="Times New Roman" w:cs="Times New Roman"/>
          <w:bCs/>
          <w:sz w:val="24"/>
          <w:szCs w:val="24"/>
          <w:lang w:val="en-US"/>
        </w:rPr>
        <w:t xml:space="preserve">pollution </w:t>
      </w:r>
      <w:r w:rsidR="003060C8">
        <w:rPr>
          <w:rFonts w:ascii="Times New Roman" w:eastAsia="Times New Roman" w:hAnsi="Times New Roman" w:cs="Times New Roman"/>
          <w:bCs/>
          <w:sz w:val="24"/>
          <w:szCs w:val="24"/>
          <w:lang w:val="en-US"/>
        </w:rPr>
        <w:t>sources that are active throughout the year, this work highlights the urgent need to manage the seasonal sources</w:t>
      </w:r>
      <w:r w:rsidR="007E7044">
        <w:rPr>
          <w:rFonts w:ascii="Times New Roman" w:eastAsia="Times New Roman" w:hAnsi="Times New Roman" w:cs="Times New Roman"/>
          <w:bCs/>
          <w:sz w:val="24"/>
          <w:szCs w:val="24"/>
          <w:lang w:val="en-US"/>
        </w:rPr>
        <w:t xml:space="preserve"> appropriately.</w:t>
      </w:r>
      <w:r w:rsidR="00190A81">
        <w:rPr>
          <w:rFonts w:ascii="Times New Roman" w:eastAsia="Times New Roman" w:hAnsi="Times New Roman" w:cs="Times New Roman"/>
          <w:bCs/>
          <w:sz w:val="24"/>
          <w:szCs w:val="24"/>
          <w:lang w:val="en-US"/>
        </w:rPr>
        <w:t xml:space="preserve"> Also, it provides important source contribution information about pollution sources in Mohali which can be used for impact assessment of air quality regulations or guidelines in place.</w:t>
      </w:r>
    </w:p>
    <w:p w14:paraId="5847EAEA" w14:textId="677FE381" w:rsidR="001A660D" w:rsidRPr="00F26949" w:rsidRDefault="001A660D" w:rsidP="00465C10">
      <w:pPr>
        <w:spacing w:after="0" w:line="360" w:lineRule="auto"/>
        <w:jc w:val="both"/>
        <w:rPr>
          <w:rFonts w:ascii="Times New Roman" w:eastAsia="Times New Roman" w:hAnsi="Times New Roman" w:cs="Times New Roman"/>
          <w:b/>
          <w:sz w:val="40"/>
          <w:szCs w:val="40"/>
          <w:lang w:val="en-US"/>
        </w:rPr>
      </w:pPr>
    </w:p>
    <w:p w14:paraId="5A0BEF3E" w14:textId="77777777" w:rsidR="001A660D" w:rsidRPr="00F26949" w:rsidRDefault="001A660D" w:rsidP="00465C10">
      <w:pPr>
        <w:spacing w:after="0" w:line="360" w:lineRule="auto"/>
        <w:jc w:val="both"/>
        <w:rPr>
          <w:rFonts w:ascii="Times New Roman" w:eastAsia="Times New Roman" w:hAnsi="Times New Roman" w:cs="Times New Roman"/>
          <w:b/>
          <w:sz w:val="40"/>
          <w:szCs w:val="40"/>
          <w:lang w:val="en-US"/>
        </w:rPr>
      </w:pPr>
    </w:p>
    <w:p w14:paraId="16E60E5E" w14:textId="77777777" w:rsidR="001A660D" w:rsidRPr="00F26949" w:rsidRDefault="001A660D" w:rsidP="00465C10">
      <w:pPr>
        <w:spacing w:after="0" w:line="360" w:lineRule="auto"/>
        <w:jc w:val="both"/>
        <w:rPr>
          <w:rFonts w:ascii="Times New Roman" w:eastAsia="Times New Roman" w:hAnsi="Times New Roman" w:cs="Times New Roman"/>
          <w:b/>
          <w:sz w:val="40"/>
          <w:szCs w:val="40"/>
          <w:lang w:val="en-US"/>
        </w:rPr>
      </w:pPr>
    </w:p>
    <w:p w14:paraId="12C1F4C2" w14:textId="77777777" w:rsidR="001A660D" w:rsidRPr="00F26949" w:rsidRDefault="001A660D" w:rsidP="00465C10">
      <w:pPr>
        <w:spacing w:after="0" w:line="360" w:lineRule="auto"/>
        <w:jc w:val="both"/>
        <w:rPr>
          <w:rFonts w:ascii="Times New Roman" w:eastAsia="Times New Roman" w:hAnsi="Times New Roman" w:cs="Times New Roman"/>
          <w:b/>
          <w:sz w:val="40"/>
          <w:szCs w:val="40"/>
          <w:lang w:val="en-US"/>
        </w:rPr>
      </w:pPr>
    </w:p>
    <w:p w14:paraId="35D76A54" w14:textId="77777777" w:rsidR="001A660D" w:rsidRPr="00F26949" w:rsidRDefault="001A660D" w:rsidP="00465C10">
      <w:pPr>
        <w:spacing w:after="0" w:line="360" w:lineRule="auto"/>
        <w:jc w:val="both"/>
        <w:rPr>
          <w:rFonts w:ascii="Times New Roman" w:eastAsia="Times New Roman" w:hAnsi="Times New Roman" w:cs="Times New Roman"/>
          <w:b/>
          <w:sz w:val="40"/>
          <w:szCs w:val="40"/>
          <w:lang w:val="en-US"/>
        </w:rPr>
      </w:pPr>
    </w:p>
    <w:p w14:paraId="2416E6A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1D9BF2E8"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02C27E62"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A772FBE"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96F8A6E"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71E78D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70F0355"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25FFC04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F811D71"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77535F39"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479127B"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43C6CD6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3CC3B925"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3BA2A585"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69B4BA6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5560E301"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00F17D6D" w14:textId="77777777" w:rsidR="001A660D" w:rsidRPr="00F26949" w:rsidRDefault="001A660D" w:rsidP="001A660D">
      <w:pPr>
        <w:spacing w:after="0" w:line="240" w:lineRule="auto"/>
        <w:jc w:val="center"/>
        <w:rPr>
          <w:rFonts w:ascii="Times New Roman" w:eastAsia="Times New Roman" w:hAnsi="Times New Roman" w:cs="Times New Roman"/>
          <w:b/>
          <w:sz w:val="40"/>
          <w:szCs w:val="40"/>
          <w:lang w:val="en-US"/>
        </w:rPr>
      </w:pPr>
    </w:p>
    <w:p w14:paraId="14CA2BFE" w14:textId="77777777" w:rsidR="001A660D" w:rsidRPr="00F26949" w:rsidRDefault="001A660D" w:rsidP="009C107F">
      <w:pPr>
        <w:spacing w:after="0" w:line="240" w:lineRule="auto"/>
        <w:rPr>
          <w:rFonts w:ascii="Times New Roman" w:eastAsia="Times New Roman" w:hAnsi="Times New Roman" w:cs="Times New Roman"/>
          <w:b/>
          <w:sz w:val="40"/>
          <w:szCs w:val="40"/>
          <w:lang w:val="en-US"/>
        </w:rPr>
      </w:pPr>
    </w:p>
    <w:p w14:paraId="220AA51D" w14:textId="77777777" w:rsidR="001A660D" w:rsidRPr="00F26949" w:rsidRDefault="001A660D">
      <w:pPr>
        <w:rPr>
          <w:rFonts w:asciiTheme="majorHAnsi" w:eastAsiaTheme="majorEastAsia" w:hAnsiTheme="majorHAnsi" w:cstheme="majorBidi"/>
          <w:sz w:val="32"/>
          <w:szCs w:val="32"/>
          <w:lang w:val="en-US"/>
        </w:rPr>
      </w:pPr>
      <w:r w:rsidRPr="00F26949">
        <w:br w:type="page"/>
      </w:r>
    </w:p>
    <w:sdt>
      <w:sdtPr>
        <w:rPr>
          <w:rFonts w:asciiTheme="minorHAnsi" w:eastAsiaTheme="minorHAnsi" w:hAnsiTheme="minorHAnsi" w:cstheme="minorBidi"/>
          <w:color w:val="auto"/>
          <w:sz w:val="22"/>
          <w:szCs w:val="22"/>
          <w:lang w:val="en-IN"/>
        </w:rPr>
        <w:id w:val="1258868579"/>
        <w:docPartObj>
          <w:docPartGallery w:val="Table of Contents"/>
          <w:docPartUnique/>
        </w:docPartObj>
      </w:sdtPr>
      <w:sdtEndPr>
        <w:rPr>
          <w:rFonts w:ascii="Times New Roman" w:hAnsi="Times New Roman" w:cs="Times New Roman"/>
          <w:noProof/>
          <w:sz w:val="24"/>
          <w:szCs w:val="24"/>
        </w:rPr>
      </w:sdtEndPr>
      <w:sdtContent>
        <w:p w14:paraId="1FF8704E" w14:textId="5DA8712D" w:rsidR="009C3F4A" w:rsidRPr="00F26949" w:rsidRDefault="009C3F4A">
          <w:pPr>
            <w:pStyle w:val="TOCHeading"/>
            <w:rPr>
              <w:rFonts w:ascii="Times New Roman" w:hAnsi="Times New Roman" w:cs="Times New Roman"/>
              <w:b/>
              <w:bCs/>
              <w:color w:val="auto"/>
              <w:sz w:val="56"/>
              <w:szCs w:val="56"/>
            </w:rPr>
          </w:pPr>
          <w:r w:rsidRPr="00F26949">
            <w:rPr>
              <w:rFonts w:ascii="Times New Roman" w:hAnsi="Times New Roman" w:cs="Times New Roman"/>
              <w:b/>
              <w:bCs/>
              <w:color w:val="auto"/>
              <w:sz w:val="56"/>
              <w:szCs w:val="56"/>
            </w:rPr>
            <w:t>Contents</w:t>
          </w:r>
        </w:p>
        <w:p w14:paraId="6ECDBE48" w14:textId="77777777" w:rsidR="001A660D" w:rsidRPr="00F26949" w:rsidRDefault="001A660D" w:rsidP="001A660D">
          <w:pPr>
            <w:rPr>
              <w:lang w:val="en-US"/>
            </w:rPr>
          </w:pPr>
        </w:p>
        <w:p w14:paraId="721FB273" w14:textId="23F1B313" w:rsidR="003C3FAD" w:rsidRPr="003C3FAD" w:rsidRDefault="009C3F4A" w:rsidP="003C3FAD">
          <w:pPr>
            <w:pStyle w:val="TOC1"/>
            <w:spacing w:line="360" w:lineRule="auto"/>
            <w:rPr>
              <w:rFonts w:eastAsiaTheme="minorEastAsia"/>
              <w:noProof/>
              <w:kern w:val="2"/>
              <w:lang w:eastAsia="en-IN"/>
              <w14:ligatures w14:val="standardContextual"/>
            </w:rPr>
          </w:pPr>
          <w:r w:rsidRPr="003C3FAD">
            <w:rPr>
              <w:rFonts w:ascii="Times New Roman" w:hAnsi="Times New Roman" w:cs="Times New Roman"/>
              <w:sz w:val="24"/>
              <w:szCs w:val="24"/>
            </w:rPr>
            <w:fldChar w:fldCharType="begin"/>
          </w:r>
          <w:r w:rsidRPr="003C3FAD">
            <w:rPr>
              <w:rFonts w:ascii="Times New Roman" w:hAnsi="Times New Roman" w:cs="Times New Roman"/>
              <w:sz w:val="24"/>
              <w:szCs w:val="24"/>
            </w:rPr>
            <w:instrText xml:space="preserve"> TOC \o "1-3" \h \z \u </w:instrText>
          </w:r>
          <w:r w:rsidRPr="003C3FAD">
            <w:rPr>
              <w:rFonts w:ascii="Times New Roman" w:hAnsi="Times New Roman" w:cs="Times New Roman"/>
              <w:sz w:val="24"/>
              <w:szCs w:val="24"/>
            </w:rPr>
            <w:fldChar w:fldCharType="separate"/>
          </w:r>
          <w:hyperlink w:anchor="_Toc146809826" w:history="1">
            <w:r w:rsidR="003C3FAD" w:rsidRPr="003C3FAD">
              <w:rPr>
                <w:rStyle w:val="Hyperlink"/>
                <w:rFonts w:ascii="Times New Roman" w:eastAsiaTheme="majorEastAsia" w:hAnsi="Times New Roman" w:cs="Times New Roman"/>
                <w:noProof/>
              </w:rPr>
              <w:t>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Introduction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_Toc146809826 \h </w:instrText>
            </w:r>
            <w:r w:rsidR="003C3FAD" w:rsidRPr="003C3FAD">
              <w:rPr>
                <w:noProof/>
                <w:webHidden/>
              </w:rPr>
            </w:r>
            <w:r w:rsidR="003C3FAD" w:rsidRPr="003C3FAD">
              <w:rPr>
                <w:noProof/>
                <w:webHidden/>
              </w:rPr>
              <w:fldChar w:fldCharType="separate"/>
            </w:r>
            <w:r w:rsidR="0036384D">
              <w:rPr>
                <w:noProof/>
                <w:webHidden/>
              </w:rPr>
              <w:t>15</w:t>
            </w:r>
            <w:r w:rsidR="003C3FAD" w:rsidRPr="003C3FAD">
              <w:rPr>
                <w:noProof/>
                <w:webHidden/>
              </w:rPr>
              <w:fldChar w:fldCharType="end"/>
            </w:r>
          </w:hyperlink>
        </w:p>
        <w:p w14:paraId="450DCCBB" w14:textId="61AD46F2"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27" w:history="1">
            <w:r w:rsidR="003C3FAD" w:rsidRPr="003C3FAD">
              <w:rPr>
                <w:rStyle w:val="Hyperlink"/>
                <w:rFonts w:ascii="Times New Roman" w:eastAsiaTheme="majorEastAsia" w:hAnsi="Times New Roman" w:cs="Times New Roman"/>
                <w:noProof/>
              </w:rPr>
              <w:t>1.1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Earth’s Atmosphere: Composition and Stratification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_Toc146809827 \h </w:instrText>
            </w:r>
            <w:r w:rsidR="003C3FAD" w:rsidRPr="003C3FAD">
              <w:rPr>
                <w:noProof/>
                <w:webHidden/>
              </w:rPr>
            </w:r>
            <w:r w:rsidR="003C3FAD" w:rsidRPr="003C3FAD">
              <w:rPr>
                <w:noProof/>
                <w:webHidden/>
              </w:rPr>
              <w:fldChar w:fldCharType="separate"/>
            </w:r>
            <w:r>
              <w:rPr>
                <w:noProof/>
                <w:webHidden/>
              </w:rPr>
              <w:t>15</w:t>
            </w:r>
            <w:r w:rsidR="003C3FAD" w:rsidRPr="003C3FAD">
              <w:rPr>
                <w:noProof/>
                <w:webHidden/>
              </w:rPr>
              <w:fldChar w:fldCharType="end"/>
            </w:r>
          </w:hyperlink>
        </w:p>
        <w:p w14:paraId="3D73EB97" w14:textId="21AF72C2"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28" w:history="1">
            <w:r w:rsidR="003C3FAD" w:rsidRPr="003C3FAD">
              <w:rPr>
                <w:rStyle w:val="Hyperlink"/>
                <w:rFonts w:ascii="Times New Roman" w:eastAsiaTheme="majorEastAsia" w:hAnsi="Times New Roman" w:cs="Times New Roman"/>
                <w:noProof/>
              </w:rPr>
              <w:t>1.2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Sources and Sinks of Volatile Organic Compounds and Particulate Matter</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_Toc146809828 \h </w:instrText>
            </w:r>
            <w:r w:rsidR="003C3FAD" w:rsidRPr="003C3FAD">
              <w:rPr>
                <w:noProof/>
                <w:webHidden/>
              </w:rPr>
            </w:r>
            <w:r w:rsidR="003C3FAD" w:rsidRPr="003C3FAD">
              <w:rPr>
                <w:noProof/>
                <w:webHidden/>
              </w:rPr>
              <w:fldChar w:fldCharType="separate"/>
            </w:r>
            <w:r>
              <w:rPr>
                <w:noProof/>
                <w:webHidden/>
              </w:rPr>
              <w:t>16</w:t>
            </w:r>
            <w:r w:rsidR="003C3FAD" w:rsidRPr="003C3FAD">
              <w:rPr>
                <w:noProof/>
                <w:webHidden/>
              </w:rPr>
              <w:fldChar w:fldCharType="end"/>
            </w:r>
          </w:hyperlink>
        </w:p>
        <w:p w14:paraId="2321C88A" w14:textId="34F69045"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29" w:history="1">
            <w:r w:rsidR="003C3FAD" w:rsidRPr="003C3FAD">
              <w:rPr>
                <w:rStyle w:val="Hyperlink"/>
                <w:rFonts w:ascii="Times New Roman" w:eastAsiaTheme="majorEastAsia" w:hAnsi="Times New Roman" w:cs="Times New Roman"/>
                <w:noProof/>
              </w:rPr>
              <w:t>1.3</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Significance of Volatile Organic Compounds and Particulate Matter (Impact on Health and Climate)</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_Toc146809829 \h </w:instrText>
            </w:r>
            <w:r w:rsidR="003C3FAD" w:rsidRPr="003C3FAD">
              <w:rPr>
                <w:noProof/>
                <w:webHidden/>
              </w:rPr>
            </w:r>
            <w:r w:rsidR="003C3FAD" w:rsidRPr="003C3FAD">
              <w:rPr>
                <w:noProof/>
                <w:webHidden/>
              </w:rPr>
              <w:fldChar w:fldCharType="separate"/>
            </w:r>
            <w:r>
              <w:rPr>
                <w:noProof/>
                <w:webHidden/>
              </w:rPr>
              <w:t>17</w:t>
            </w:r>
            <w:r w:rsidR="003C3FAD" w:rsidRPr="003C3FAD">
              <w:rPr>
                <w:noProof/>
                <w:webHidden/>
              </w:rPr>
              <w:fldChar w:fldCharType="end"/>
            </w:r>
          </w:hyperlink>
        </w:p>
        <w:p w14:paraId="621710F3" w14:textId="707B0345"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0" w:history="1">
            <w:r w:rsidR="003C3FAD" w:rsidRPr="003C3FAD">
              <w:rPr>
                <w:rStyle w:val="Hyperlink"/>
                <w:rFonts w:ascii="Times New Roman" w:eastAsiaTheme="majorEastAsia" w:hAnsi="Times New Roman" w:cs="Times New Roman"/>
                <w:noProof/>
              </w:rPr>
              <w:t>1.4</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Air pollution and source apportionment</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_Toc146809830 \h </w:instrText>
            </w:r>
            <w:r w:rsidR="003C3FAD" w:rsidRPr="003C3FAD">
              <w:rPr>
                <w:noProof/>
                <w:webHidden/>
              </w:rPr>
            </w:r>
            <w:r w:rsidR="003C3FAD" w:rsidRPr="003C3FAD">
              <w:rPr>
                <w:noProof/>
                <w:webHidden/>
              </w:rPr>
              <w:fldChar w:fldCharType="separate"/>
            </w:r>
            <w:r>
              <w:rPr>
                <w:noProof/>
                <w:webHidden/>
              </w:rPr>
              <w:t>18</w:t>
            </w:r>
            <w:r w:rsidR="003C3FAD" w:rsidRPr="003C3FAD">
              <w:rPr>
                <w:noProof/>
                <w:webHidden/>
              </w:rPr>
              <w:fldChar w:fldCharType="end"/>
            </w:r>
          </w:hyperlink>
        </w:p>
        <w:p w14:paraId="29F22AAC" w14:textId="48989B31"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1" w:history="1">
            <w:r w:rsidR="003C3FAD" w:rsidRPr="003C3FAD">
              <w:rPr>
                <w:rStyle w:val="Hyperlink"/>
                <w:rFonts w:ascii="Times New Roman" w:eastAsiaTheme="majorEastAsia" w:hAnsi="Times New Roman" w:cs="Times New Roman"/>
                <w:noProof/>
              </w:rPr>
              <w:t>1.5</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Receptor modelling and Emission inventories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_Toc146809831 \h </w:instrText>
            </w:r>
            <w:r w:rsidR="003C3FAD" w:rsidRPr="003C3FAD">
              <w:rPr>
                <w:noProof/>
                <w:webHidden/>
              </w:rPr>
            </w:r>
            <w:r w:rsidR="003C3FAD" w:rsidRPr="003C3FAD">
              <w:rPr>
                <w:noProof/>
                <w:webHidden/>
              </w:rPr>
              <w:fldChar w:fldCharType="separate"/>
            </w:r>
            <w:r>
              <w:rPr>
                <w:noProof/>
                <w:webHidden/>
              </w:rPr>
              <w:t>22</w:t>
            </w:r>
            <w:r w:rsidR="003C3FAD" w:rsidRPr="003C3FAD">
              <w:rPr>
                <w:noProof/>
                <w:webHidden/>
              </w:rPr>
              <w:fldChar w:fldCharType="end"/>
            </w:r>
          </w:hyperlink>
        </w:p>
        <w:p w14:paraId="4A5BCDA5" w14:textId="40F07A84"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2" w:history="1">
            <w:r w:rsidR="003C3FAD" w:rsidRPr="003C3FAD">
              <w:rPr>
                <w:rStyle w:val="Hyperlink"/>
                <w:rFonts w:ascii="Times New Roman" w:eastAsiaTheme="majorEastAsia" w:hAnsi="Times New Roman" w:cs="Times New Roman"/>
                <w:noProof/>
              </w:rPr>
              <w:t>1.6</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Research objectives and thesis outline</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_Toc146809832 \h </w:instrText>
            </w:r>
            <w:r w:rsidR="003C3FAD" w:rsidRPr="003C3FAD">
              <w:rPr>
                <w:noProof/>
                <w:webHidden/>
              </w:rPr>
            </w:r>
            <w:r w:rsidR="003C3FAD" w:rsidRPr="003C3FAD">
              <w:rPr>
                <w:noProof/>
                <w:webHidden/>
              </w:rPr>
              <w:fldChar w:fldCharType="separate"/>
            </w:r>
            <w:r>
              <w:rPr>
                <w:noProof/>
                <w:webHidden/>
              </w:rPr>
              <w:t>24</w:t>
            </w:r>
            <w:r w:rsidR="003C3FAD" w:rsidRPr="003C3FAD">
              <w:rPr>
                <w:noProof/>
                <w:webHidden/>
              </w:rPr>
              <w:fldChar w:fldCharType="end"/>
            </w:r>
          </w:hyperlink>
        </w:p>
        <w:p w14:paraId="3EECFF85" w14:textId="5B37DFA2"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33" w:history="1">
            <w:r w:rsidR="003C3FAD" w:rsidRPr="003C3FAD">
              <w:rPr>
                <w:rStyle w:val="Hyperlink"/>
                <w:rFonts w:ascii="Times New Roman" w:eastAsiaTheme="majorEastAsia" w:hAnsi="Times New Roman" w:cs="Times New Roman"/>
                <w:noProof/>
              </w:rPr>
              <w:t>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Methodology</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_Toc146809833 \h </w:instrText>
            </w:r>
            <w:r w:rsidR="003C3FAD" w:rsidRPr="003C3FAD">
              <w:rPr>
                <w:noProof/>
                <w:webHidden/>
              </w:rPr>
            </w:r>
            <w:r w:rsidR="003C3FAD" w:rsidRPr="003C3FAD">
              <w:rPr>
                <w:noProof/>
                <w:webHidden/>
              </w:rPr>
              <w:fldChar w:fldCharType="separate"/>
            </w:r>
            <w:r>
              <w:rPr>
                <w:noProof/>
                <w:webHidden/>
              </w:rPr>
              <w:t>26</w:t>
            </w:r>
            <w:r w:rsidR="003C3FAD" w:rsidRPr="003C3FAD">
              <w:rPr>
                <w:noProof/>
                <w:webHidden/>
              </w:rPr>
              <w:fldChar w:fldCharType="end"/>
            </w:r>
          </w:hyperlink>
        </w:p>
        <w:p w14:paraId="25135D39" w14:textId="39F92E11"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4" w:history="1">
            <w:r w:rsidR="003C3FAD" w:rsidRPr="003C3FAD">
              <w:rPr>
                <w:rStyle w:val="Hyperlink"/>
                <w:rFonts w:ascii="Times New Roman" w:eastAsiaTheme="majorEastAsia" w:hAnsi="Times New Roman" w:cs="Times New Roman"/>
                <w:noProof/>
              </w:rPr>
              <w:t>2.1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Source apportionment techniques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_Toc146809834 \h </w:instrText>
            </w:r>
            <w:r w:rsidR="003C3FAD" w:rsidRPr="003C3FAD">
              <w:rPr>
                <w:noProof/>
                <w:webHidden/>
              </w:rPr>
            </w:r>
            <w:r w:rsidR="003C3FAD" w:rsidRPr="003C3FAD">
              <w:rPr>
                <w:noProof/>
                <w:webHidden/>
              </w:rPr>
              <w:fldChar w:fldCharType="separate"/>
            </w:r>
            <w:r>
              <w:rPr>
                <w:noProof/>
                <w:webHidden/>
              </w:rPr>
              <w:t>26</w:t>
            </w:r>
            <w:r w:rsidR="003C3FAD" w:rsidRPr="003C3FAD">
              <w:rPr>
                <w:noProof/>
                <w:webHidden/>
              </w:rPr>
              <w:fldChar w:fldCharType="end"/>
            </w:r>
          </w:hyperlink>
        </w:p>
        <w:p w14:paraId="72EC0741" w14:textId="07C0677B"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35" w:history="1">
            <w:r w:rsidR="003C3FAD" w:rsidRPr="003C3FAD">
              <w:rPr>
                <w:rStyle w:val="Hyperlink"/>
                <w:rFonts w:ascii="Times New Roman" w:eastAsiaTheme="majorEastAsia" w:hAnsi="Times New Roman" w:cs="Times New Roman"/>
                <w:noProof/>
              </w:rPr>
              <w:t>2.1.1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PMF</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_Toc146809835 \h </w:instrText>
            </w:r>
            <w:r w:rsidR="003C3FAD" w:rsidRPr="003C3FAD">
              <w:rPr>
                <w:noProof/>
                <w:webHidden/>
              </w:rPr>
            </w:r>
            <w:r w:rsidR="003C3FAD" w:rsidRPr="003C3FAD">
              <w:rPr>
                <w:noProof/>
                <w:webHidden/>
              </w:rPr>
              <w:fldChar w:fldCharType="separate"/>
            </w:r>
            <w:r>
              <w:rPr>
                <w:noProof/>
                <w:webHidden/>
              </w:rPr>
              <w:t>26</w:t>
            </w:r>
            <w:r w:rsidR="003C3FAD" w:rsidRPr="003C3FAD">
              <w:rPr>
                <w:noProof/>
                <w:webHidden/>
              </w:rPr>
              <w:fldChar w:fldCharType="end"/>
            </w:r>
          </w:hyperlink>
        </w:p>
        <w:p w14:paraId="63DF479D" w14:textId="0F7BD037"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36" w:history="1">
            <w:r w:rsidR="003C3FAD" w:rsidRPr="003C3FAD">
              <w:rPr>
                <w:rStyle w:val="Hyperlink"/>
                <w:rFonts w:ascii="Times New Roman" w:eastAsiaTheme="majorEastAsia" w:hAnsi="Times New Roman" w:cs="Times New Roman"/>
                <w:noProof/>
              </w:rPr>
              <w:t>2.1.2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PCA, UNMIX, CMB</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_Toc146809836 \h </w:instrText>
            </w:r>
            <w:r w:rsidR="003C3FAD" w:rsidRPr="003C3FAD">
              <w:rPr>
                <w:noProof/>
                <w:webHidden/>
              </w:rPr>
            </w:r>
            <w:r w:rsidR="003C3FAD" w:rsidRPr="003C3FAD">
              <w:rPr>
                <w:noProof/>
                <w:webHidden/>
              </w:rPr>
              <w:fldChar w:fldCharType="separate"/>
            </w:r>
            <w:r>
              <w:rPr>
                <w:noProof/>
                <w:webHidden/>
              </w:rPr>
              <w:t>28</w:t>
            </w:r>
            <w:r w:rsidR="003C3FAD" w:rsidRPr="003C3FAD">
              <w:rPr>
                <w:noProof/>
                <w:webHidden/>
              </w:rPr>
              <w:fldChar w:fldCharType="end"/>
            </w:r>
          </w:hyperlink>
        </w:p>
        <w:p w14:paraId="07CB4DBF" w14:textId="514E5442"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7" w:history="1">
            <w:r w:rsidR="003C3FAD" w:rsidRPr="003C3FAD">
              <w:rPr>
                <w:rStyle w:val="Hyperlink"/>
                <w:rFonts w:ascii="Times New Roman" w:eastAsiaTheme="majorEastAsia" w:hAnsi="Times New Roman" w:cs="Times New Roman"/>
                <w:noProof/>
              </w:rPr>
              <w:t>2.2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US EPA PMF and its execution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_Toc146809837 \h </w:instrText>
            </w:r>
            <w:r w:rsidR="003C3FAD" w:rsidRPr="003C3FAD">
              <w:rPr>
                <w:noProof/>
                <w:webHidden/>
              </w:rPr>
            </w:r>
            <w:r w:rsidR="003C3FAD" w:rsidRPr="003C3FAD">
              <w:rPr>
                <w:noProof/>
                <w:webHidden/>
              </w:rPr>
              <w:fldChar w:fldCharType="separate"/>
            </w:r>
            <w:r>
              <w:rPr>
                <w:noProof/>
                <w:webHidden/>
              </w:rPr>
              <w:t>29</w:t>
            </w:r>
            <w:r w:rsidR="003C3FAD" w:rsidRPr="003C3FAD">
              <w:rPr>
                <w:noProof/>
                <w:webHidden/>
              </w:rPr>
              <w:fldChar w:fldCharType="end"/>
            </w:r>
          </w:hyperlink>
        </w:p>
        <w:p w14:paraId="1D724798" w14:textId="28E9C1A2"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38" w:history="1">
            <w:r w:rsidR="003C3FAD" w:rsidRPr="003C3FAD">
              <w:rPr>
                <w:rStyle w:val="Hyperlink"/>
                <w:rFonts w:ascii="Times New Roman" w:eastAsiaTheme="majorEastAsia" w:hAnsi="Times New Roman" w:cs="Times New Roman"/>
                <w:noProof/>
              </w:rPr>
              <w:t>2.3</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Quantification of criteria air pollutants and meteorological parameters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_Toc146809838 \h </w:instrText>
            </w:r>
            <w:r w:rsidR="003C3FAD" w:rsidRPr="003C3FAD">
              <w:rPr>
                <w:noProof/>
                <w:webHidden/>
              </w:rPr>
            </w:r>
            <w:r w:rsidR="003C3FAD" w:rsidRPr="003C3FAD">
              <w:rPr>
                <w:noProof/>
                <w:webHidden/>
              </w:rPr>
              <w:fldChar w:fldCharType="separate"/>
            </w:r>
            <w:r>
              <w:rPr>
                <w:noProof/>
                <w:webHidden/>
              </w:rPr>
              <w:t>31</w:t>
            </w:r>
            <w:r w:rsidR="003C3FAD" w:rsidRPr="003C3FAD">
              <w:rPr>
                <w:noProof/>
                <w:webHidden/>
              </w:rPr>
              <w:fldChar w:fldCharType="end"/>
            </w:r>
          </w:hyperlink>
        </w:p>
        <w:p w14:paraId="44315654" w14:textId="2B894B10"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39" w:history="1">
            <w:r w:rsidR="003C3FAD" w:rsidRPr="003C3FAD">
              <w:rPr>
                <w:rStyle w:val="Hyperlink"/>
                <w:rFonts w:ascii="Times New Roman" w:hAnsi="Times New Roman" w:cs="Times New Roman"/>
                <w:noProof/>
              </w:rPr>
              <w:t>3</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Source apportionment of volatile organic compounds in the northwest Indo-Gangetic Plain using a positive matrix factorization model</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_Toc146809839 \h </w:instrText>
            </w:r>
            <w:r w:rsidR="003C3FAD" w:rsidRPr="003C3FAD">
              <w:rPr>
                <w:noProof/>
                <w:webHidden/>
              </w:rPr>
            </w:r>
            <w:r w:rsidR="003C3FAD" w:rsidRPr="003C3FAD">
              <w:rPr>
                <w:noProof/>
                <w:webHidden/>
              </w:rPr>
              <w:fldChar w:fldCharType="separate"/>
            </w:r>
            <w:r>
              <w:rPr>
                <w:noProof/>
                <w:webHidden/>
              </w:rPr>
              <w:t>33</w:t>
            </w:r>
            <w:r w:rsidR="003C3FAD" w:rsidRPr="003C3FAD">
              <w:rPr>
                <w:noProof/>
                <w:webHidden/>
              </w:rPr>
              <w:fldChar w:fldCharType="end"/>
            </w:r>
          </w:hyperlink>
        </w:p>
        <w:p w14:paraId="33C9B2A0" w14:textId="2F91483E"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40" w:history="1">
            <w:r w:rsidR="003C3FAD" w:rsidRPr="003C3FAD">
              <w:rPr>
                <w:rStyle w:val="Hyperlink"/>
                <w:rFonts w:ascii="Times New Roman" w:hAnsi="Times New Roman" w:cs="Times New Roman"/>
                <w:noProof/>
              </w:rPr>
              <w:t>3.1</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Abstract</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_Toc146809840 \h </w:instrText>
            </w:r>
            <w:r w:rsidR="003C3FAD" w:rsidRPr="003C3FAD">
              <w:rPr>
                <w:noProof/>
                <w:webHidden/>
              </w:rPr>
            </w:r>
            <w:r w:rsidR="003C3FAD" w:rsidRPr="003C3FAD">
              <w:rPr>
                <w:noProof/>
                <w:webHidden/>
              </w:rPr>
              <w:fldChar w:fldCharType="separate"/>
            </w:r>
            <w:r>
              <w:rPr>
                <w:noProof/>
                <w:webHidden/>
              </w:rPr>
              <w:t>33</w:t>
            </w:r>
            <w:r w:rsidR="003C3FAD" w:rsidRPr="003C3FAD">
              <w:rPr>
                <w:noProof/>
                <w:webHidden/>
              </w:rPr>
              <w:fldChar w:fldCharType="end"/>
            </w:r>
          </w:hyperlink>
        </w:p>
        <w:p w14:paraId="5BD6835C" w14:textId="0D86AB2B"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41" w:history="1">
            <w:r w:rsidR="003C3FAD" w:rsidRPr="003C3FAD">
              <w:rPr>
                <w:rStyle w:val="Hyperlink"/>
                <w:rFonts w:ascii="Times New Roman" w:hAnsi="Times New Roman" w:cs="Times New Roman"/>
                <w:noProof/>
              </w:rPr>
              <w:t>3.2</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Introduction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_Toc146809841 \h </w:instrText>
            </w:r>
            <w:r w:rsidR="003C3FAD" w:rsidRPr="003C3FAD">
              <w:rPr>
                <w:noProof/>
                <w:webHidden/>
              </w:rPr>
            </w:r>
            <w:r w:rsidR="003C3FAD" w:rsidRPr="003C3FAD">
              <w:rPr>
                <w:noProof/>
                <w:webHidden/>
              </w:rPr>
              <w:fldChar w:fldCharType="separate"/>
            </w:r>
            <w:r>
              <w:rPr>
                <w:noProof/>
                <w:webHidden/>
              </w:rPr>
              <w:t>34</w:t>
            </w:r>
            <w:r w:rsidR="003C3FAD" w:rsidRPr="003C3FAD">
              <w:rPr>
                <w:noProof/>
                <w:webHidden/>
              </w:rPr>
              <w:fldChar w:fldCharType="end"/>
            </w:r>
          </w:hyperlink>
        </w:p>
        <w:p w14:paraId="4F7A3517" w14:textId="6AA62BEC"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42" w:history="1">
            <w:r w:rsidR="003C3FAD" w:rsidRPr="003C3FAD">
              <w:rPr>
                <w:rStyle w:val="Hyperlink"/>
                <w:rFonts w:ascii="Times New Roman" w:hAnsi="Times New Roman" w:cs="Times New Roman"/>
                <w:noProof/>
              </w:rPr>
              <w:t>3.3</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Methods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_Toc146809842 \h </w:instrText>
            </w:r>
            <w:r w:rsidR="003C3FAD" w:rsidRPr="003C3FAD">
              <w:rPr>
                <w:noProof/>
                <w:webHidden/>
              </w:rPr>
            </w:r>
            <w:r w:rsidR="003C3FAD" w:rsidRPr="003C3FAD">
              <w:rPr>
                <w:noProof/>
                <w:webHidden/>
              </w:rPr>
              <w:fldChar w:fldCharType="separate"/>
            </w:r>
            <w:r>
              <w:rPr>
                <w:noProof/>
                <w:webHidden/>
              </w:rPr>
              <w:t>36</w:t>
            </w:r>
            <w:r w:rsidR="003C3FAD" w:rsidRPr="003C3FAD">
              <w:rPr>
                <w:noProof/>
                <w:webHidden/>
              </w:rPr>
              <w:fldChar w:fldCharType="end"/>
            </w:r>
          </w:hyperlink>
        </w:p>
        <w:p w14:paraId="1E5396F0" w14:textId="251E5606"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3" w:history="1">
            <w:r w:rsidR="003C3FAD" w:rsidRPr="003C3FAD">
              <w:rPr>
                <w:rStyle w:val="Hyperlink"/>
                <w:rFonts w:ascii="Times New Roman" w:hAnsi="Times New Roman" w:cs="Times New Roman"/>
                <w:noProof/>
              </w:rPr>
              <w:t>3.3.1</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Receptor site</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_Toc146809843 \h </w:instrText>
            </w:r>
            <w:r w:rsidR="003C3FAD" w:rsidRPr="003C3FAD">
              <w:rPr>
                <w:noProof/>
                <w:webHidden/>
              </w:rPr>
            </w:r>
            <w:r w:rsidR="003C3FAD" w:rsidRPr="003C3FAD">
              <w:rPr>
                <w:noProof/>
                <w:webHidden/>
              </w:rPr>
              <w:fldChar w:fldCharType="separate"/>
            </w:r>
            <w:r>
              <w:rPr>
                <w:noProof/>
                <w:webHidden/>
              </w:rPr>
              <w:t>36</w:t>
            </w:r>
            <w:r w:rsidR="003C3FAD" w:rsidRPr="003C3FAD">
              <w:rPr>
                <w:noProof/>
                <w:webHidden/>
              </w:rPr>
              <w:fldChar w:fldCharType="end"/>
            </w:r>
          </w:hyperlink>
        </w:p>
        <w:p w14:paraId="07D23807" w14:textId="2C8B869F"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4" w:history="1">
            <w:r w:rsidR="003C3FAD" w:rsidRPr="003C3FAD">
              <w:rPr>
                <w:rStyle w:val="Hyperlink"/>
                <w:rFonts w:ascii="Times New Roman" w:hAnsi="Times New Roman" w:cs="Times New Roman"/>
                <w:noProof/>
              </w:rPr>
              <w:t>3.3.2</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VOCs and other auxiliary measurements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_Toc146809844 \h </w:instrText>
            </w:r>
            <w:r w:rsidR="003C3FAD" w:rsidRPr="003C3FAD">
              <w:rPr>
                <w:noProof/>
                <w:webHidden/>
              </w:rPr>
            </w:r>
            <w:r w:rsidR="003C3FAD" w:rsidRPr="003C3FAD">
              <w:rPr>
                <w:noProof/>
                <w:webHidden/>
              </w:rPr>
              <w:fldChar w:fldCharType="separate"/>
            </w:r>
            <w:r>
              <w:rPr>
                <w:noProof/>
                <w:webHidden/>
              </w:rPr>
              <w:t>37</w:t>
            </w:r>
            <w:r w:rsidR="003C3FAD" w:rsidRPr="003C3FAD">
              <w:rPr>
                <w:noProof/>
                <w:webHidden/>
              </w:rPr>
              <w:fldChar w:fldCharType="end"/>
            </w:r>
          </w:hyperlink>
        </w:p>
        <w:p w14:paraId="26BC18EB" w14:textId="5C1271F9"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5" w:history="1">
            <w:r w:rsidR="003C3FAD" w:rsidRPr="003C3FAD">
              <w:rPr>
                <w:rStyle w:val="Hyperlink"/>
                <w:rFonts w:ascii="Times New Roman" w:hAnsi="Times New Roman" w:cs="Times New Roman"/>
                <w:noProof/>
              </w:rPr>
              <w:t>3.3.3</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Positive matrix factorization model</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_Toc146809845 \h </w:instrText>
            </w:r>
            <w:r w:rsidR="003C3FAD" w:rsidRPr="003C3FAD">
              <w:rPr>
                <w:noProof/>
                <w:webHidden/>
              </w:rPr>
            </w:r>
            <w:r w:rsidR="003C3FAD" w:rsidRPr="003C3FAD">
              <w:rPr>
                <w:noProof/>
                <w:webHidden/>
              </w:rPr>
              <w:fldChar w:fldCharType="separate"/>
            </w:r>
            <w:r>
              <w:rPr>
                <w:noProof/>
                <w:webHidden/>
              </w:rPr>
              <w:t>41</w:t>
            </w:r>
            <w:r w:rsidR="003C3FAD" w:rsidRPr="003C3FAD">
              <w:rPr>
                <w:noProof/>
                <w:webHidden/>
              </w:rPr>
              <w:fldChar w:fldCharType="end"/>
            </w:r>
          </w:hyperlink>
        </w:p>
        <w:p w14:paraId="1914C7F0" w14:textId="279D1774"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6" w:history="1">
            <w:r w:rsidR="003C3FAD" w:rsidRPr="003C3FAD">
              <w:rPr>
                <w:rStyle w:val="Hyperlink"/>
                <w:rFonts w:ascii="Times New Roman" w:hAnsi="Times New Roman" w:cs="Times New Roman"/>
                <w:noProof/>
              </w:rPr>
              <w:t>3.3.4</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Validation of the PMF output</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_Toc146809846 \h </w:instrText>
            </w:r>
            <w:r w:rsidR="003C3FAD" w:rsidRPr="003C3FAD">
              <w:rPr>
                <w:noProof/>
                <w:webHidden/>
              </w:rPr>
            </w:r>
            <w:r w:rsidR="003C3FAD" w:rsidRPr="003C3FAD">
              <w:rPr>
                <w:noProof/>
                <w:webHidden/>
              </w:rPr>
              <w:fldChar w:fldCharType="separate"/>
            </w:r>
            <w:r>
              <w:rPr>
                <w:noProof/>
                <w:webHidden/>
              </w:rPr>
              <w:t>51</w:t>
            </w:r>
            <w:r w:rsidR="003C3FAD" w:rsidRPr="003C3FAD">
              <w:rPr>
                <w:noProof/>
                <w:webHidden/>
              </w:rPr>
              <w:fldChar w:fldCharType="end"/>
            </w:r>
          </w:hyperlink>
        </w:p>
        <w:p w14:paraId="4D47107D" w14:textId="2B98D704"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7" w:history="1">
            <w:r w:rsidR="003C3FAD" w:rsidRPr="003C3FAD">
              <w:rPr>
                <w:rStyle w:val="Hyperlink"/>
                <w:rFonts w:ascii="Times New Roman" w:hAnsi="Times New Roman" w:cs="Times New Roman"/>
                <w:noProof/>
              </w:rPr>
              <w:t>3.3.5</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Conditional probability function analysis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_Toc146809847 \h </w:instrText>
            </w:r>
            <w:r w:rsidR="003C3FAD" w:rsidRPr="003C3FAD">
              <w:rPr>
                <w:noProof/>
                <w:webHidden/>
              </w:rPr>
            </w:r>
            <w:r w:rsidR="003C3FAD" w:rsidRPr="003C3FAD">
              <w:rPr>
                <w:noProof/>
                <w:webHidden/>
              </w:rPr>
              <w:fldChar w:fldCharType="separate"/>
            </w:r>
            <w:r>
              <w:rPr>
                <w:noProof/>
                <w:webHidden/>
              </w:rPr>
              <w:t>53</w:t>
            </w:r>
            <w:r w:rsidR="003C3FAD" w:rsidRPr="003C3FAD">
              <w:rPr>
                <w:noProof/>
                <w:webHidden/>
              </w:rPr>
              <w:fldChar w:fldCharType="end"/>
            </w:r>
          </w:hyperlink>
        </w:p>
        <w:p w14:paraId="3A505E22" w14:textId="68D42466"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8" w:history="1">
            <w:r w:rsidR="003C3FAD" w:rsidRPr="003C3FAD">
              <w:rPr>
                <w:rStyle w:val="Hyperlink"/>
                <w:rFonts w:ascii="Times New Roman" w:hAnsi="Times New Roman" w:cs="Times New Roman"/>
                <w:noProof/>
              </w:rPr>
              <w:t>3.3.6</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Calculation of the ozone formation potential and SOA formation potential</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_Toc146809848 \h </w:instrText>
            </w:r>
            <w:r w:rsidR="003C3FAD" w:rsidRPr="003C3FAD">
              <w:rPr>
                <w:noProof/>
                <w:webHidden/>
              </w:rPr>
            </w:r>
            <w:r w:rsidR="003C3FAD" w:rsidRPr="003C3FAD">
              <w:rPr>
                <w:noProof/>
                <w:webHidden/>
              </w:rPr>
              <w:fldChar w:fldCharType="separate"/>
            </w:r>
            <w:r>
              <w:rPr>
                <w:noProof/>
                <w:webHidden/>
              </w:rPr>
              <w:t>53</w:t>
            </w:r>
            <w:r w:rsidR="003C3FAD" w:rsidRPr="003C3FAD">
              <w:rPr>
                <w:noProof/>
                <w:webHidden/>
              </w:rPr>
              <w:fldChar w:fldCharType="end"/>
            </w:r>
          </w:hyperlink>
        </w:p>
        <w:p w14:paraId="38380635" w14:textId="6DCDDBE0"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49" w:history="1">
            <w:r w:rsidR="003C3FAD" w:rsidRPr="003C3FAD">
              <w:rPr>
                <w:rStyle w:val="Hyperlink"/>
                <w:rFonts w:ascii="Times New Roman" w:hAnsi="Times New Roman" w:cs="Times New Roman"/>
                <w:noProof/>
              </w:rPr>
              <w:t>3.3.7</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Methodology for the comparison of PMF source factors with the existing emission inventories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_Toc146809849 \h </w:instrText>
            </w:r>
            <w:r w:rsidR="003C3FAD" w:rsidRPr="003C3FAD">
              <w:rPr>
                <w:noProof/>
                <w:webHidden/>
              </w:rPr>
            </w:r>
            <w:r w:rsidR="003C3FAD" w:rsidRPr="003C3FAD">
              <w:rPr>
                <w:noProof/>
                <w:webHidden/>
              </w:rPr>
              <w:fldChar w:fldCharType="separate"/>
            </w:r>
            <w:r>
              <w:rPr>
                <w:noProof/>
                <w:webHidden/>
              </w:rPr>
              <w:t>56</w:t>
            </w:r>
            <w:r w:rsidR="003C3FAD" w:rsidRPr="003C3FAD">
              <w:rPr>
                <w:noProof/>
                <w:webHidden/>
              </w:rPr>
              <w:fldChar w:fldCharType="end"/>
            </w:r>
          </w:hyperlink>
        </w:p>
        <w:p w14:paraId="58530082" w14:textId="76AAD023"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50" w:history="1">
            <w:r w:rsidR="003C3FAD" w:rsidRPr="003C3FAD">
              <w:rPr>
                <w:rStyle w:val="Hyperlink"/>
                <w:rFonts w:ascii="Times New Roman" w:hAnsi="Times New Roman" w:cs="Times New Roman"/>
                <w:noProof/>
              </w:rPr>
              <w:t>3.4</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Results and discussion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_Toc146809850 \h </w:instrText>
            </w:r>
            <w:r w:rsidR="003C3FAD" w:rsidRPr="003C3FAD">
              <w:rPr>
                <w:noProof/>
                <w:webHidden/>
              </w:rPr>
            </w:r>
            <w:r w:rsidR="003C3FAD" w:rsidRPr="003C3FAD">
              <w:rPr>
                <w:noProof/>
                <w:webHidden/>
              </w:rPr>
              <w:fldChar w:fldCharType="separate"/>
            </w:r>
            <w:r>
              <w:rPr>
                <w:noProof/>
                <w:webHidden/>
              </w:rPr>
              <w:t>57</w:t>
            </w:r>
            <w:r w:rsidR="003C3FAD" w:rsidRPr="003C3FAD">
              <w:rPr>
                <w:noProof/>
                <w:webHidden/>
              </w:rPr>
              <w:fldChar w:fldCharType="end"/>
            </w:r>
          </w:hyperlink>
        </w:p>
        <w:p w14:paraId="03477297" w14:textId="1B2B1C4B"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1" w:history="1">
            <w:r w:rsidR="003C3FAD" w:rsidRPr="003C3FAD">
              <w:rPr>
                <w:rStyle w:val="Hyperlink"/>
                <w:rFonts w:ascii="Times New Roman" w:hAnsi="Times New Roman" w:cs="Times New Roman"/>
                <w:noProof/>
              </w:rPr>
              <w:t>3.4.1</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Split up of VOC emission sources in Mohali and their contribution to ozone and SOA formation potential</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_Toc146809851 \h </w:instrText>
            </w:r>
            <w:r w:rsidR="003C3FAD" w:rsidRPr="003C3FAD">
              <w:rPr>
                <w:noProof/>
                <w:webHidden/>
              </w:rPr>
            </w:r>
            <w:r w:rsidR="003C3FAD" w:rsidRPr="003C3FAD">
              <w:rPr>
                <w:noProof/>
                <w:webHidden/>
              </w:rPr>
              <w:fldChar w:fldCharType="separate"/>
            </w:r>
            <w:r>
              <w:rPr>
                <w:noProof/>
                <w:webHidden/>
              </w:rPr>
              <w:t>57</w:t>
            </w:r>
            <w:r w:rsidR="003C3FAD" w:rsidRPr="003C3FAD">
              <w:rPr>
                <w:noProof/>
                <w:webHidden/>
              </w:rPr>
              <w:fldChar w:fldCharType="end"/>
            </w:r>
          </w:hyperlink>
        </w:p>
        <w:p w14:paraId="6703CBE4" w14:textId="0FFF345A"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2" w:history="1">
            <w:r w:rsidR="003C3FAD" w:rsidRPr="003C3FAD">
              <w:rPr>
                <w:rStyle w:val="Hyperlink"/>
                <w:rFonts w:ascii="Times New Roman" w:hAnsi="Times New Roman" w:cs="Times New Roman"/>
                <w:noProof/>
              </w:rPr>
              <w:t>3.4.2</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Factor 1 – biofuel use and waste disposal</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_Toc146809852 \h </w:instrText>
            </w:r>
            <w:r w:rsidR="003C3FAD" w:rsidRPr="003C3FAD">
              <w:rPr>
                <w:noProof/>
                <w:webHidden/>
              </w:rPr>
            </w:r>
            <w:r w:rsidR="003C3FAD" w:rsidRPr="003C3FAD">
              <w:rPr>
                <w:noProof/>
                <w:webHidden/>
              </w:rPr>
              <w:fldChar w:fldCharType="separate"/>
            </w:r>
            <w:r>
              <w:rPr>
                <w:noProof/>
                <w:webHidden/>
              </w:rPr>
              <w:t>59</w:t>
            </w:r>
            <w:r w:rsidR="003C3FAD" w:rsidRPr="003C3FAD">
              <w:rPr>
                <w:noProof/>
                <w:webHidden/>
              </w:rPr>
              <w:fldChar w:fldCharType="end"/>
            </w:r>
          </w:hyperlink>
        </w:p>
        <w:p w14:paraId="17B1DD26" w14:textId="1D3DF95B"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3" w:history="1">
            <w:r w:rsidR="003C3FAD" w:rsidRPr="003C3FAD">
              <w:rPr>
                <w:rStyle w:val="Hyperlink"/>
                <w:rFonts w:ascii="Times New Roman" w:hAnsi="Times New Roman" w:cs="Times New Roman"/>
                <w:noProof/>
              </w:rPr>
              <w:t>3.4.3</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Factor 2 – wheat-residue burning</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_Toc146809853 \h </w:instrText>
            </w:r>
            <w:r w:rsidR="003C3FAD" w:rsidRPr="003C3FAD">
              <w:rPr>
                <w:noProof/>
                <w:webHidden/>
              </w:rPr>
            </w:r>
            <w:r w:rsidR="003C3FAD" w:rsidRPr="003C3FAD">
              <w:rPr>
                <w:noProof/>
                <w:webHidden/>
              </w:rPr>
              <w:fldChar w:fldCharType="separate"/>
            </w:r>
            <w:r>
              <w:rPr>
                <w:noProof/>
                <w:webHidden/>
              </w:rPr>
              <w:t>61</w:t>
            </w:r>
            <w:r w:rsidR="003C3FAD" w:rsidRPr="003C3FAD">
              <w:rPr>
                <w:noProof/>
                <w:webHidden/>
              </w:rPr>
              <w:fldChar w:fldCharType="end"/>
            </w:r>
          </w:hyperlink>
        </w:p>
        <w:p w14:paraId="1D7DB3D4" w14:textId="5AA9304B"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4" w:history="1">
            <w:r w:rsidR="003C3FAD" w:rsidRPr="003C3FAD">
              <w:rPr>
                <w:rStyle w:val="Hyperlink"/>
                <w:rFonts w:ascii="Times New Roman" w:hAnsi="Times New Roman" w:cs="Times New Roman"/>
                <w:noProof/>
              </w:rPr>
              <w:t>3.4.4</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Factor 3 – industrial emissions and solvent use</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_Toc146809854 \h </w:instrText>
            </w:r>
            <w:r w:rsidR="003C3FAD" w:rsidRPr="003C3FAD">
              <w:rPr>
                <w:noProof/>
                <w:webHidden/>
              </w:rPr>
            </w:r>
            <w:r w:rsidR="003C3FAD" w:rsidRPr="003C3FAD">
              <w:rPr>
                <w:noProof/>
                <w:webHidden/>
              </w:rPr>
              <w:fldChar w:fldCharType="separate"/>
            </w:r>
            <w:r>
              <w:rPr>
                <w:noProof/>
                <w:webHidden/>
              </w:rPr>
              <w:t>63</w:t>
            </w:r>
            <w:r w:rsidR="003C3FAD" w:rsidRPr="003C3FAD">
              <w:rPr>
                <w:noProof/>
                <w:webHidden/>
              </w:rPr>
              <w:fldChar w:fldCharType="end"/>
            </w:r>
          </w:hyperlink>
        </w:p>
        <w:p w14:paraId="7A688841" w14:textId="6EC8D9EB"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5" w:history="1">
            <w:r w:rsidR="003C3FAD" w:rsidRPr="003C3FAD">
              <w:rPr>
                <w:rStyle w:val="Hyperlink"/>
                <w:rFonts w:ascii="Times New Roman" w:hAnsi="Times New Roman" w:cs="Times New Roman"/>
                <w:noProof/>
              </w:rPr>
              <w:t>3.4.5</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Factor 4 and 5 – cars and two-wheelers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_Toc146809855 \h </w:instrText>
            </w:r>
            <w:r w:rsidR="003C3FAD" w:rsidRPr="003C3FAD">
              <w:rPr>
                <w:noProof/>
                <w:webHidden/>
              </w:rPr>
            </w:r>
            <w:r w:rsidR="003C3FAD" w:rsidRPr="003C3FAD">
              <w:rPr>
                <w:noProof/>
                <w:webHidden/>
              </w:rPr>
              <w:fldChar w:fldCharType="separate"/>
            </w:r>
            <w:r>
              <w:rPr>
                <w:noProof/>
                <w:webHidden/>
              </w:rPr>
              <w:t>64</w:t>
            </w:r>
            <w:r w:rsidR="003C3FAD" w:rsidRPr="003C3FAD">
              <w:rPr>
                <w:noProof/>
                <w:webHidden/>
              </w:rPr>
              <w:fldChar w:fldCharType="end"/>
            </w:r>
          </w:hyperlink>
        </w:p>
        <w:p w14:paraId="17402751" w14:textId="4D3CC638"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6" w:history="1">
            <w:r w:rsidR="003C3FAD" w:rsidRPr="003C3FAD">
              <w:rPr>
                <w:rStyle w:val="Hyperlink"/>
                <w:rFonts w:ascii="Times New Roman" w:hAnsi="Times New Roman" w:cs="Times New Roman"/>
                <w:noProof/>
              </w:rPr>
              <w:t>3.4.6</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Factor 6 – mixed daytime sources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_Toc146809856 \h </w:instrText>
            </w:r>
            <w:r w:rsidR="003C3FAD" w:rsidRPr="003C3FAD">
              <w:rPr>
                <w:noProof/>
                <w:webHidden/>
              </w:rPr>
            </w:r>
            <w:r w:rsidR="003C3FAD" w:rsidRPr="003C3FAD">
              <w:rPr>
                <w:noProof/>
                <w:webHidden/>
              </w:rPr>
              <w:fldChar w:fldCharType="separate"/>
            </w:r>
            <w:r>
              <w:rPr>
                <w:noProof/>
                <w:webHidden/>
              </w:rPr>
              <w:t>68</w:t>
            </w:r>
            <w:r w:rsidR="003C3FAD" w:rsidRPr="003C3FAD">
              <w:rPr>
                <w:noProof/>
                <w:webHidden/>
              </w:rPr>
              <w:fldChar w:fldCharType="end"/>
            </w:r>
          </w:hyperlink>
        </w:p>
        <w:p w14:paraId="13311217" w14:textId="57E76198"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57" w:history="1">
            <w:r w:rsidR="003C3FAD" w:rsidRPr="003C3FAD">
              <w:rPr>
                <w:rStyle w:val="Hyperlink"/>
                <w:rFonts w:ascii="Times New Roman" w:hAnsi="Times New Roman" w:cs="Times New Roman"/>
                <w:noProof/>
              </w:rPr>
              <w:t>3.4.7</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Comparison of PMF source factors with existing emission inventories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_Toc146809857 \h </w:instrText>
            </w:r>
            <w:r w:rsidR="003C3FAD" w:rsidRPr="003C3FAD">
              <w:rPr>
                <w:noProof/>
                <w:webHidden/>
              </w:rPr>
            </w:r>
            <w:r w:rsidR="003C3FAD" w:rsidRPr="003C3FAD">
              <w:rPr>
                <w:noProof/>
                <w:webHidden/>
              </w:rPr>
              <w:fldChar w:fldCharType="separate"/>
            </w:r>
            <w:r>
              <w:rPr>
                <w:noProof/>
                <w:webHidden/>
              </w:rPr>
              <w:t>68</w:t>
            </w:r>
            <w:r w:rsidR="003C3FAD" w:rsidRPr="003C3FAD">
              <w:rPr>
                <w:noProof/>
                <w:webHidden/>
              </w:rPr>
              <w:fldChar w:fldCharType="end"/>
            </w:r>
          </w:hyperlink>
        </w:p>
        <w:p w14:paraId="5C8FB0A7" w14:textId="7B8CE4CF"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58" w:history="1">
            <w:r w:rsidR="003C3FAD" w:rsidRPr="003C3FAD">
              <w:rPr>
                <w:rStyle w:val="Hyperlink"/>
                <w:rFonts w:ascii="Times New Roman" w:hAnsi="Times New Roman" w:cs="Times New Roman"/>
                <w:noProof/>
              </w:rPr>
              <w:t>3.5</w:t>
            </w:r>
            <w:r w:rsidR="003C3FAD" w:rsidRPr="003C3FAD">
              <w:rPr>
                <w:rFonts w:eastAsiaTheme="minorEastAsia"/>
                <w:noProof/>
                <w:kern w:val="2"/>
                <w:lang w:eastAsia="en-IN"/>
                <w14:ligatures w14:val="standardContextual"/>
              </w:rPr>
              <w:tab/>
            </w:r>
            <w:r w:rsidR="003C3FAD" w:rsidRPr="003C3FAD">
              <w:rPr>
                <w:rStyle w:val="Hyperlink"/>
                <w:rFonts w:ascii="Times New Roman" w:hAnsi="Times New Roman" w:cs="Times New Roman"/>
                <w:noProof/>
              </w:rPr>
              <w:t>Conclusions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_Toc146809858 \h </w:instrText>
            </w:r>
            <w:r w:rsidR="003C3FAD" w:rsidRPr="003C3FAD">
              <w:rPr>
                <w:noProof/>
                <w:webHidden/>
              </w:rPr>
            </w:r>
            <w:r w:rsidR="003C3FAD" w:rsidRPr="003C3FAD">
              <w:rPr>
                <w:noProof/>
                <w:webHidden/>
              </w:rPr>
              <w:fldChar w:fldCharType="separate"/>
            </w:r>
            <w:r>
              <w:rPr>
                <w:noProof/>
                <w:webHidden/>
              </w:rPr>
              <w:t>70</w:t>
            </w:r>
            <w:r w:rsidR="003C3FAD" w:rsidRPr="003C3FAD">
              <w:rPr>
                <w:noProof/>
                <w:webHidden/>
              </w:rPr>
              <w:fldChar w:fldCharType="end"/>
            </w:r>
          </w:hyperlink>
        </w:p>
        <w:p w14:paraId="0F78EEA2" w14:textId="25F328EC"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59" w:history="1">
            <w:r w:rsidR="003C3FAD" w:rsidRPr="003C3FAD">
              <w:rPr>
                <w:rStyle w:val="Hyperlink"/>
                <w:rFonts w:ascii="Times New Roman" w:eastAsiaTheme="majorEastAsia" w:hAnsi="Times New Roman" w:cs="Times New Roman"/>
                <w:noProof/>
              </w:rPr>
              <w:t>4.</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lang w:val="en-US"/>
              </w:rPr>
              <w:t>Positive matrix factorization-based receptor modelling of particulate matter in northwest India</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_Toc146809859 \h </w:instrText>
            </w:r>
            <w:r w:rsidR="003C3FAD" w:rsidRPr="003C3FAD">
              <w:rPr>
                <w:noProof/>
                <w:webHidden/>
              </w:rPr>
            </w:r>
            <w:r w:rsidR="003C3FAD" w:rsidRPr="003C3FAD">
              <w:rPr>
                <w:noProof/>
                <w:webHidden/>
              </w:rPr>
              <w:fldChar w:fldCharType="separate"/>
            </w:r>
            <w:r>
              <w:rPr>
                <w:noProof/>
                <w:webHidden/>
              </w:rPr>
              <w:t>72</w:t>
            </w:r>
            <w:r w:rsidR="003C3FAD" w:rsidRPr="003C3FAD">
              <w:rPr>
                <w:noProof/>
                <w:webHidden/>
              </w:rPr>
              <w:fldChar w:fldCharType="end"/>
            </w:r>
          </w:hyperlink>
        </w:p>
        <w:p w14:paraId="2D6768E9" w14:textId="482A0B47"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60" w:history="1">
            <w:r w:rsidR="003C3FAD" w:rsidRPr="003C3FAD">
              <w:rPr>
                <w:rStyle w:val="Hyperlink"/>
                <w:rFonts w:ascii="Times New Roman" w:eastAsiaTheme="majorEastAsia" w:hAnsi="Times New Roman" w:cs="Times New Roman"/>
                <w:noProof/>
              </w:rPr>
              <w:t>4.1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Abstract</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_Toc146809860 \h </w:instrText>
            </w:r>
            <w:r w:rsidR="003C3FAD" w:rsidRPr="003C3FAD">
              <w:rPr>
                <w:noProof/>
                <w:webHidden/>
              </w:rPr>
            </w:r>
            <w:r w:rsidR="003C3FAD" w:rsidRPr="003C3FAD">
              <w:rPr>
                <w:noProof/>
                <w:webHidden/>
              </w:rPr>
              <w:fldChar w:fldCharType="separate"/>
            </w:r>
            <w:r>
              <w:rPr>
                <w:noProof/>
                <w:webHidden/>
              </w:rPr>
              <w:t>72</w:t>
            </w:r>
            <w:r w:rsidR="003C3FAD" w:rsidRPr="003C3FAD">
              <w:rPr>
                <w:noProof/>
                <w:webHidden/>
              </w:rPr>
              <w:fldChar w:fldCharType="end"/>
            </w:r>
          </w:hyperlink>
        </w:p>
        <w:p w14:paraId="733084FD" w14:textId="58825755"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61" w:history="1">
            <w:r w:rsidR="003C3FAD" w:rsidRPr="003C3FAD">
              <w:rPr>
                <w:rStyle w:val="Hyperlink"/>
                <w:rFonts w:ascii="Times New Roman" w:eastAsiaTheme="majorEastAsia" w:hAnsi="Times New Roman" w:cs="Times New Roman"/>
                <w:noProof/>
              </w:rPr>
              <w:t>4.2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Methods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_Toc146809861 \h </w:instrText>
            </w:r>
            <w:r w:rsidR="003C3FAD" w:rsidRPr="003C3FAD">
              <w:rPr>
                <w:noProof/>
                <w:webHidden/>
              </w:rPr>
            </w:r>
            <w:r w:rsidR="003C3FAD" w:rsidRPr="003C3FAD">
              <w:rPr>
                <w:noProof/>
                <w:webHidden/>
              </w:rPr>
              <w:fldChar w:fldCharType="separate"/>
            </w:r>
            <w:r>
              <w:rPr>
                <w:noProof/>
                <w:webHidden/>
              </w:rPr>
              <w:t>74</w:t>
            </w:r>
            <w:r w:rsidR="003C3FAD" w:rsidRPr="003C3FAD">
              <w:rPr>
                <w:noProof/>
                <w:webHidden/>
              </w:rPr>
              <w:fldChar w:fldCharType="end"/>
            </w:r>
          </w:hyperlink>
        </w:p>
        <w:p w14:paraId="276ACFA7" w14:textId="61772F72"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62" w:history="1">
            <w:r w:rsidR="003C3FAD" w:rsidRPr="003C3FAD">
              <w:rPr>
                <w:rStyle w:val="Hyperlink"/>
                <w:rFonts w:ascii="Times New Roman" w:eastAsiaTheme="majorEastAsia" w:hAnsi="Times New Roman" w:cs="Times New Roman"/>
                <w:noProof/>
              </w:rPr>
              <w:t>4.3.1</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Study site and meteorology</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_Toc146809862 \h </w:instrText>
            </w:r>
            <w:r w:rsidR="003C3FAD" w:rsidRPr="003C3FAD">
              <w:rPr>
                <w:noProof/>
                <w:webHidden/>
              </w:rPr>
            </w:r>
            <w:r w:rsidR="003C3FAD" w:rsidRPr="003C3FAD">
              <w:rPr>
                <w:noProof/>
                <w:webHidden/>
              </w:rPr>
              <w:fldChar w:fldCharType="separate"/>
            </w:r>
            <w:r>
              <w:rPr>
                <w:noProof/>
                <w:webHidden/>
              </w:rPr>
              <w:t>74</w:t>
            </w:r>
            <w:r w:rsidR="003C3FAD" w:rsidRPr="003C3FAD">
              <w:rPr>
                <w:noProof/>
                <w:webHidden/>
              </w:rPr>
              <w:fldChar w:fldCharType="end"/>
            </w:r>
          </w:hyperlink>
        </w:p>
        <w:p w14:paraId="47AD0951" w14:textId="7D43F76F"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63" w:history="1">
            <w:r w:rsidR="003C3FAD" w:rsidRPr="003C3FAD">
              <w:rPr>
                <w:rStyle w:val="Hyperlink"/>
                <w:rFonts w:ascii="Times New Roman" w:eastAsiaTheme="majorEastAsia" w:hAnsi="Times New Roman" w:cs="Times New Roman"/>
                <w:noProof/>
              </w:rPr>
              <w:t>4.3.2</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PM and VOC Measurements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_Toc146809863 \h </w:instrText>
            </w:r>
            <w:r w:rsidR="003C3FAD" w:rsidRPr="003C3FAD">
              <w:rPr>
                <w:noProof/>
                <w:webHidden/>
              </w:rPr>
            </w:r>
            <w:r w:rsidR="003C3FAD" w:rsidRPr="003C3FAD">
              <w:rPr>
                <w:noProof/>
                <w:webHidden/>
              </w:rPr>
              <w:fldChar w:fldCharType="separate"/>
            </w:r>
            <w:r>
              <w:rPr>
                <w:noProof/>
                <w:webHidden/>
              </w:rPr>
              <w:t>77</w:t>
            </w:r>
            <w:r w:rsidR="003C3FAD" w:rsidRPr="003C3FAD">
              <w:rPr>
                <w:noProof/>
                <w:webHidden/>
              </w:rPr>
              <w:fldChar w:fldCharType="end"/>
            </w:r>
          </w:hyperlink>
        </w:p>
        <w:p w14:paraId="544B457C" w14:textId="2C9A4AEE"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64" w:history="1">
            <w:r w:rsidR="003C3FAD" w:rsidRPr="003C3FAD">
              <w:rPr>
                <w:rStyle w:val="Hyperlink"/>
                <w:rFonts w:ascii="Times New Roman" w:eastAsiaTheme="majorEastAsia" w:hAnsi="Times New Roman" w:cs="Times New Roman"/>
                <w:noProof/>
              </w:rPr>
              <w:t>4.3.3</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US EPA PMF 5.0 Model and Implementation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_Toc146809864 \h </w:instrText>
            </w:r>
            <w:r w:rsidR="003C3FAD" w:rsidRPr="003C3FAD">
              <w:rPr>
                <w:noProof/>
                <w:webHidden/>
              </w:rPr>
            </w:r>
            <w:r w:rsidR="003C3FAD" w:rsidRPr="003C3FAD">
              <w:rPr>
                <w:noProof/>
                <w:webHidden/>
              </w:rPr>
              <w:fldChar w:fldCharType="separate"/>
            </w:r>
            <w:r>
              <w:rPr>
                <w:noProof/>
                <w:webHidden/>
              </w:rPr>
              <w:t>79</w:t>
            </w:r>
            <w:r w:rsidR="003C3FAD" w:rsidRPr="003C3FAD">
              <w:rPr>
                <w:noProof/>
                <w:webHidden/>
              </w:rPr>
              <w:fldChar w:fldCharType="end"/>
            </w:r>
          </w:hyperlink>
        </w:p>
        <w:p w14:paraId="66B596D0" w14:textId="4E2E4229" w:rsidR="003C3FAD" w:rsidRPr="003C3FAD" w:rsidRDefault="0036384D" w:rsidP="003C3FAD">
          <w:pPr>
            <w:pStyle w:val="TOC3"/>
            <w:tabs>
              <w:tab w:val="left" w:pos="1320"/>
              <w:tab w:val="right" w:leader="dot" w:pos="8449"/>
            </w:tabs>
            <w:spacing w:line="360" w:lineRule="auto"/>
            <w:rPr>
              <w:rFonts w:eastAsiaTheme="minorEastAsia"/>
              <w:noProof/>
              <w:kern w:val="2"/>
              <w:lang w:eastAsia="en-IN"/>
              <w14:ligatures w14:val="standardContextual"/>
            </w:rPr>
          </w:pPr>
          <w:hyperlink w:anchor="_Toc146809865" w:history="1">
            <w:r w:rsidR="003C3FAD" w:rsidRPr="003C3FAD">
              <w:rPr>
                <w:rStyle w:val="Hyperlink"/>
                <w:rFonts w:ascii="Times New Roman" w:eastAsiaTheme="majorEastAsia" w:hAnsi="Times New Roman" w:cs="Times New Roman"/>
                <w:noProof/>
              </w:rPr>
              <w:t>4.3.4</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Optimizing number of factors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_Toc146809865 \h </w:instrText>
            </w:r>
            <w:r w:rsidR="003C3FAD" w:rsidRPr="003C3FAD">
              <w:rPr>
                <w:noProof/>
                <w:webHidden/>
              </w:rPr>
            </w:r>
            <w:r w:rsidR="003C3FAD" w:rsidRPr="003C3FAD">
              <w:rPr>
                <w:noProof/>
                <w:webHidden/>
              </w:rPr>
              <w:fldChar w:fldCharType="separate"/>
            </w:r>
            <w:r>
              <w:rPr>
                <w:noProof/>
                <w:webHidden/>
              </w:rPr>
              <w:t>82</w:t>
            </w:r>
            <w:r w:rsidR="003C3FAD" w:rsidRPr="003C3FAD">
              <w:rPr>
                <w:noProof/>
                <w:webHidden/>
              </w:rPr>
              <w:fldChar w:fldCharType="end"/>
            </w:r>
          </w:hyperlink>
        </w:p>
        <w:p w14:paraId="5F679190" w14:textId="096A7A80"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66" w:history="1">
            <w:r w:rsidR="003C3FAD" w:rsidRPr="003C3FAD">
              <w:rPr>
                <w:rStyle w:val="Hyperlink"/>
                <w:rFonts w:ascii="Times New Roman" w:eastAsiaTheme="majorEastAsia" w:hAnsi="Times New Roman" w:cs="Times New Roman"/>
                <w:noProof/>
              </w:rPr>
              <w:t>4.3</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Results and Discussion</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_Toc146809866 \h </w:instrText>
            </w:r>
            <w:r w:rsidR="003C3FAD" w:rsidRPr="003C3FAD">
              <w:rPr>
                <w:noProof/>
                <w:webHidden/>
              </w:rPr>
            </w:r>
            <w:r w:rsidR="003C3FAD" w:rsidRPr="003C3FAD">
              <w:rPr>
                <w:noProof/>
                <w:webHidden/>
              </w:rPr>
              <w:fldChar w:fldCharType="separate"/>
            </w:r>
            <w:r>
              <w:rPr>
                <w:noProof/>
                <w:webHidden/>
              </w:rPr>
              <w:t>86</w:t>
            </w:r>
            <w:r w:rsidR="003C3FAD" w:rsidRPr="003C3FAD">
              <w:rPr>
                <w:noProof/>
                <w:webHidden/>
              </w:rPr>
              <w:fldChar w:fldCharType="end"/>
            </w:r>
          </w:hyperlink>
        </w:p>
        <w:p w14:paraId="23481FA6" w14:textId="3666002D" w:rsidR="003C3FAD" w:rsidRPr="003C3FAD" w:rsidRDefault="0036384D" w:rsidP="003C3FAD">
          <w:pPr>
            <w:pStyle w:val="TOC2"/>
            <w:tabs>
              <w:tab w:val="left" w:pos="880"/>
              <w:tab w:val="right" w:leader="dot" w:pos="8449"/>
            </w:tabs>
            <w:spacing w:line="360" w:lineRule="auto"/>
            <w:rPr>
              <w:rFonts w:eastAsiaTheme="minorEastAsia"/>
              <w:noProof/>
              <w:kern w:val="2"/>
              <w:lang w:eastAsia="en-IN"/>
              <w14:ligatures w14:val="standardContextual"/>
            </w:rPr>
          </w:pPr>
          <w:hyperlink w:anchor="_Toc146809867" w:history="1">
            <w:r w:rsidR="003C3FAD" w:rsidRPr="003C3FAD">
              <w:rPr>
                <w:rStyle w:val="Hyperlink"/>
                <w:rFonts w:ascii="Times New Roman" w:eastAsiaTheme="majorEastAsia" w:hAnsi="Times New Roman" w:cs="Times New Roman"/>
                <w:noProof/>
              </w:rPr>
              <w:t>4.4</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Summary and Conclusions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_Toc146809867 \h </w:instrText>
            </w:r>
            <w:r w:rsidR="003C3FAD" w:rsidRPr="003C3FAD">
              <w:rPr>
                <w:noProof/>
                <w:webHidden/>
              </w:rPr>
            </w:r>
            <w:r w:rsidR="003C3FAD" w:rsidRPr="003C3FAD">
              <w:rPr>
                <w:noProof/>
                <w:webHidden/>
              </w:rPr>
              <w:fldChar w:fldCharType="separate"/>
            </w:r>
            <w:r>
              <w:rPr>
                <w:noProof/>
                <w:webHidden/>
              </w:rPr>
              <w:t>97</w:t>
            </w:r>
            <w:r w:rsidR="003C3FAD" w:rsidRPr="003C3FAD">
              <w:rPr>
                <w:noProof/>
                <w:webHidden/>
              </w:rPr>
              <w:fldChar w:fldCharType="end"/>
            </w:r>
          </w:hyperlink>
        </w:p>
        <w:p w14:paraId="20F2F115" w14:textId="5CF52553"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68" w:history="1">
            <w:r w:rsidR="003C3FAD" w:rsidRPr="003C3FAD">
              <w:rPr>
                <w:rStyle w:val="Hyperlink"/>
                <w:rFonts w:ascii="Times New Roman" w:eastAsiaTheme="majorEastAsia" w:hAnsi="Times New Roman" w:cs="Times New Roman"/>
                <w:noProof/>
              </w:rPr>
              <w:t>5.</w:t>
            </w:r>
            <w:r w:rsidR="003C3FAD" w:rsidRPr="003C3FAD">
              <w:rPr>
                <w:rFonts w:eastAsiaTheme="minorEastAsia"/>
                <w:noProof/>
                <w:kern w:val="2"/>
                <w:lang w:eastAsia="en-IN"/>
                <w14:ligatures w14:val="standardContextual"/>
              </w:rPr>
              <w:tab/>
            </w:r>
            <w:r w:rsidR="003C3FAD" w:rsidRPr="003C3FAD">
              <w:rPr>
                <w:rStyle w:val="Hyperlink"/>
                <w:rFonts w:ascii="Times New Roman" w:eastAsiaTheme="majorEastAsia" w:hAnsi="Times New Roman" w:cs="Times New Roman"/>
                <w:noProof/>
              </w:rPr>
              <w:t>Conclusions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_Toc146809868 \h </w:instrText>
            </w:r>
            <w:r w:rsidR="003C3FAD" w:rsidRPr="003C3FAD">
              <w:rPr>
                <w:noProof/>
                <w:webHidden/>
              </w:rPr>
            </w:r>
            <w:r w:rsidR="003C3FAD" w:rsidRPr="003C3FAD">
              <w:rPr>
                <w:noProof/>
                <w:webHidden/>
              </w:rPr>
              <w:fldChar w:fldCharType="separate"/>
            </w:r>
            <w:r>
              <w:rPr>
                <w:noProof/>
                <w:webHidden/>
              </w:rPr>
              <w:t>98</w:t>
            </w:r>
            <w:r w:rsidR="003C3FAD" w:rsidRPr="003C3FAD">
              <w:rPr>
                <w:noProof/>
                <w:webHidden/>
              </w:rPr>
              <w:fldChar w:fldCharType="end"/>
            </w:r>
          </w:hyperlink>
        </w:p>
        <w:p w14:paraId="23177AF0" w14:textId="4ABE0B86"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69" w:history="1">
            <w:r w:rsidR="003C3FAD" w:rsidRPr="003C3FAD">
              <w:rPr>
                <w:rStyle w:val="Hyperlink"/>
                <w:rFonts w:ascii="Times New Roman" w:eastAsiaTheme="majorEastAsia" w:hAnsi="Times New Roman" w:cs="Times New Roman"/>
                <w:noProof/>
              </w:rPr>
              <w:t>List of Figures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_Toc146809869 \h </w:instrText>
            </w:r>
            <w:r w:rsidR="003C3FAD" w:rsidRPr="003C3FAD">
              <w:rPr>
                <w:noProof/>
                <w:webHidden/>
              </w:rPr>
            </w:r>
            <w:r w:rsidR="003C3FAD" w:rsidRPr="003C3FAD">
              <w:rPr>
                <w:noProof/>
                <w:webHidden/>
              </w:rPr>
              <w:fldChar w:fldCharType="separate"/>
            </w:r>
            <w:r>
              <w:rPr>
                <w:noProof/>
                <w:webHidden/>
              </w:rPr>
              <w:t>100</w:t>
            </w:r>
            <w:r w:rsidR="003C3FAD" w:rsidRPr="003C3FAD">
              <w:rPr>
                <w:noProof/>
                <w:webHidden/>
              </w:rPr>
              <w:fldChar w:fldCharType="end"/>
            </w:r>
          </w:hyperlink>
        </w:p>
        <w:p w14:paraId="56D40787" w14:textId="09BB7045"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70" w:history="1">
            <w:r w:rsidR="003C3FAD" w:rsidRPr="003C3FAD">
              <w:rPr>
                <w:rStyle w:val="Hyperlink"/>
                <w:rFonts w:ascii="Times New Roman" w:eastAsiaTheme="majorEastAsia" w:hAnsi="Times New Roman" w:cs="Times New Roman"/>
                <w:noProof/>
              </w:rPr>
              <w:t>List of Tables</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_Toc146809870 \h </w:instrText>
            </w:r>
            <w:r w:rsidR="003C3FAD" w:rsidRPr="003C3FAD">
              <w:rPr>
                <w:noProof/>
                <w:webHidden/>
              </w:rPr>
            </w:r>
            <w:r w:rsidR="003C3FAD" w:rsidRPr="003C3FAD">
              <w:rPr>
                <w:noProof/>
                <w:webHidden/>
              </w:rPr>
              <w:fldChar w:fldCharType="separate"/>
            </w:r>
            <w:r>
              <w:rPr>
                <w:noProof/>
                <w:webHidden/>
              </w:rPr>
              <w:t>103</w:t>
            </w:r>
            <w:r w:rsidR="003C3FAD" w:rsidRPr="003C3FAD">
              <w:rPr>
                <w:noProof/>
                <w:webHidden/>
              </w:rPr>
              <w:fldChar w:fldCharType="end"/>
            </w:r>
          </w:hyperlink>
        </w:p>
        <w:p w14:paraId="1F31A4AE" w14:textId="75BA2270" w:rsidR="003C3FAD" w:rsidRPr="003C3FAD" w:rsidRDefault="0036384D" w:rsidP="003C3FAD">
          <w:pPr>
            <w:pStyle w:val="TOC1"/>
            <w:spacing w:line="360" w:lineRule="auto"/>
            <w:rPr>
              <w:rFonts w:eastAsiaTheme="minorEastAsia"/>
              <w:noProof/>
              <w:kern w:val="2"/>
              <w:lang w:eastAsia="en-IN"/>
              <w14:ligatures w14:val="standardContextual"/>
            </w:rPr>
          </w:pPr>
          <w:hyperlink w:anchor="_Toc146809871" w:history="1">
            <w:r w:rsidR="003C3FAD" w:rsidRPr="003C3FAD">
              <w:rPr>
                <w:rStyle w:val="Hyperlink"/>
                <w:rFonts w:ascii="Times New Roman" w:eastAsiaTheme="majorEastAsia" w:hAnsi="Times New Roman" w:cs="Times New Roman"/>
                <w:noProof/>
              </w:rPr>
              <w:t>Bibliography</w:t>
            </w:r>
            <w:r w:rsidR="003C3FAD" w:rsidRPr="003C3FAD">
              <w:rPr>
                <w:noProof/>
                <w:webHidden/>
              </w:rPr>
              <w:tab/>
            </w:r>
            <w:r w:rsidR="003C3FAD" w:rsidRPr="003C3FAD">
              <w:rPr>
                <w:noProof/>
                <w:webHidden/>
              </w:rPr>
              <w:fldChar w:fldCharType="begin"/>
            </w:r>
            <w:r w:rsidR="003C3FAD" w:rsidRPr="003C3FAD">
              <w:rPr>
                <w:noProof/>
                <w:webHidden/>
              </w:rPr>
              <w:instrText xml:space="preserve"> PAGEREF _Toc146809871 \h </w:instrText>
            </w:r>
            <w:r w:rsidR="003C3FAD" w:rsidRPr="003C3FAD">
              <w:rPr>
                <w:noProof/>
                <w:webHidden/>
              </w:rPr>
            </w:r>
            <w:r w:rsidR="003C3FAD" w:rsidRPr="003C3FAD">
              <w:rPr>
                <w:noProof/>
                <w:webHidden/>
              </w:rPr>
              <w:fldChar w:fldCharType="separate"/>
            </w:r>
            <w:r>
              <w:rPr>
                <w:noProof/>
                <w:webHidden/>
              </w:rPr>
              <w:t>104</w:t>
            </w:r>
            <w:r w:rsidR="003C3FAD" w:rsidRPr="003C3FAD">
              <w:rPr>
                <w:noProof/>
                <w:webHidden/>
              </w:rPr>
              <w:fldChar w:fldCharType="end"/>
            </w:r>
          </w:hyperlink>
        </w:p>
        <w:p w14:paraId="2C99CB05" w14:textId="77777777" w:rsidR="00943F0B" w:rsidRDefault="009C3F4A" w:rsidP="00943F0B">
          <w:pPr>
            <w:spacing w:line="360" w:lineRule="auto"/>
            <w:rPr>
              <w:rFonts w:ascii="Times New Roman" w:hAnsi="Times New Roman" w:cs="Times New Roman"/>
              <w:noProof/>
              <w:sz w:val="24"/>
              <w:szCs w:val="24"/>
            </w:rPr>
          </w:pPr>
          <w:r w:rsidRPr="003C3FAD">
            <w:rPr>
              <w:rFonts w:ascii="Times New Roman" w:hAnsi="Times New Roman" w:cs="Times New Roman"/>
              <w:noProof/>
              <w:sz w:val="24"/>
              <w:szCs w:val="24"/>
            </w:rPr>
            <w:fldChar w:fldCharType="end"/>
          </w:r>
        </w:p>
      </w:sdtContent>
    </w:sdt>
    <w:p w14:paraId="76D30722" w14:textId="734B58C7" w:rsidR="00A13BFD" w:rsidRPr="00A13BFD" w:rsidRDefault="00780820" w:rsidP="00943F0B">
      <w:pPr>
        <w:spacing w:line="360" w:lineRule="auto"/>
        <w:rPr>
          <w:rFonts w:ascii="Times New Roman" w:hAnsi="Times New Roman" w:cs="Times New Roman"/>
          <w:noProof/>
          <w:sz w:val="24"/>
          <w:szCs w:val="24"/>
        </w:rPr>
        <w:sectPr w:rsidR="00A13BFD" w:rsidRPr="00A13BFD" w:rsidSect="00604508">
          <w:footerReference w:type="default" r:id="rId9"/>
          <w:pgSz w:w="11906" w:h="16838"/>
          <w:pgMar w:top="1440" w:right="1440" w:bottom="1440" w:left="2007" w:header="709" w:footer="709" w:gutter="0"/>
          <w:cols w:space="708"/>
          <w:docGrid w:linePitch="360"/>
        </w:sectPr>
      </w:pPr>
      <w:r>
        <w:rPr>
          <w:rFonts w:ascii="Times New Roman" w:hAnsi="Times New Roman" w:cs="Times New Roman"/>
          <w:sz w:val="24"/>
          <w:szCs w:val="24"/>
        </w:rPr>
        <w:tab/>
      </w:r>
    </w:p>
    <w:p w14:paraId="6B6A9A9F" w14:textId="77777777" w:rsidR="00B059E8" w:rsidRPr="00F26949" w:rsidRDefault="00B059E8" w:rsidP="00B059E8"/>
    <w:p w14:paraId="4A76328B" w14:textId="14CAEED9" w:rsidR="00385971" w:rsidRPr="00F26949" w:rsidRDefault="00385971" w:rsidP="00385971">
      <w:pPr>
        <w:keepNext/>
        <w:keepLines/>
        <w:numPr>
          <w:ilvl w:val="0"/>
          <w:numId w:val="8"/>
        </w:numPr>
        <w:spacing w:before="240" w:after="0" w:line="360" w:lineRule="auto"/>
        <w:jc w:val="both"/>
        <w:outlineLvl w:val="0"/>
        <w:rPr>
          <w:rFonts w:ascii="Times New Roman" w:eastAsiaTheme="majorEastAsia" w:hAnsi="Times New Roman" w:cs="Times New Roman"/>
          <w:sz w:val="56"/>
          <w:szCs w:val="56"/>
        </w:rPr>
      </w:pPr>
      <w:bookmarkStart w:id="1" w:name="_Toc146809826"/>
      <w:r w:rsidRPr="00F26949">
        <w:rPr>
          <w:rFonts w:ascii="Times New Roman" w:eastAsiaTheme="majorEastAsia" w:hAnsi="Times New Roman" w:cs="Times New Roman"/>
          <w:sz w:val="56"/>
          <w:szCs w:val="56"/>
        </w:rPr>
        <w:t>Introduction</w:t>
      </w:r>
      <w:bookmarkEnd w:id="1"/>
    </w:p>
    <w:p w14:paraId="337DE7B2" w14:textId="77777777" w:rsidR="00385971" w:rsidRPr="00C8133D" w:rsidRDefault="00385971" w:rsidP="00C8133D">
      <w:pPr>
        <w:spacing w:line="360" w:lineRule="auto"/>
        <w:jc w:val="both"/>
        <w:rPr>
          <w:rFonts w:ascii="Times New Roman" w:hAnsi="Times New Roman" w:cs="Times New Roman"/>
          <w:sz w:val="24"/>
          <w:szCs w:val="24"/>
        </w:rPr>
      </w:pPr>
    </w:p>
    <w:p w14:paraId="002E7268" w14:textId="0FA91981" w:rsidR="00385971" w:rsidRPr="00C8133D" w:rsidRDefault="00385971" w:rsidP="00C8133D">
      <w:pPr>
        <w:keepNext/>
        <w:keepLines/>
        <w:numPr>
          <w:ilvl w:val="1"/>
          <w:numId w:val="8"/>
        </w:numPr>
        <w:spacing w:before="40" w:after="0" w:line="360" w:lineRule="auto"/>
        <w:jc w:val="both"/>
        <w:outlineLvl w:val="1"/>
        <w:rPr>
          <w:rFonts w:ascii="Times New Roman" w:eastAsiaTheme="majorEastAsia" w:hAnsi="Times New Roman" w:cs="Times New Roman"/>
          <w:b/>
          <w:bCs/>
          <w:sz w:val="24"/>
          <w:szCs w:val="24"/>
        </w:rPr>
      </w:pPr>
      <w:bookmarkStart w:id="2" w:name="_Toc146809827"/>
      <w:r w:rsidRPr="00C8133D">
        <w:rPr>
          <w:rFonts w:ascii="Times New Roman" w:eastAsiaTheme="majorEastAsia" w:hAnsi="Times New Roman" w:cs="Times New Roman"/>
          <w:b/>
          <w:bCs/>
          <w:sz w:val="24"/>
          <w:szCs w:val="24"/>
        </w:rPr>
        <w:t>Earth’s Atmosphere: Composition and Stratification</w:t>
      </w:r>
      <w:bookmarkEnd w:id="2"/>
    </w:p>
    <w:p w14:paraId="1E65D0A3" w14:textId="742070A2" w:rsidR="00385971" w:rsidRDefault="00385971" w:rsidP="006C503F">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Understanding Earth’s atmospheric composition is fundamental to every research that aims to assess the causes and alleviate the adverse effects of air pollution. Earth’s atmosphere constitutes a mixture of several gases, however their existence in the atmosphere is characterized by highly uneven proportions. The split up (by volume) of major gases present in the Earth’s atmosphere is the following - </w:t>
      </w:r>
      <w:r w:rsidR="00DC0AF2">
        <w:rPr>
          <w:rFonts w:ascii="Times New Roman" w:hAnsi="Times New Roman" w:cs="Times New Roman"/>
          <w:sz w:val="24"/>
          <w:szCs w:val="24"/>
        </w:rPr>
        <w:t>n</w:t>
      </w:r>
      <w:r w:rsidRPr="00C8133D">
        <w:rPr>
          <w:rFonts w:ascii="Times New Roman" w:hAnsi="Times New Roman" w:cs="Times New Roman"/>
          <w:sz w:val="24"/>
          <w:szCs w:val="24"/>
        </w:rPr>
        <w:t xml:space="preserve">itrogen (78.1%), </w:t>
      </w:r>
      <w:r w:rsidR="00DC0AF2">
        <w:rPr>
          <w:rFonts w:ascii="Times New Roman" w:hAnsi="Times New Roman" w:cs="Times New Roman"/>
          <w:sz w:val="24"/>
          <w:szCs w:val="24"/>
        </w:rPr>
        <w:t>o</w:t>
      </w:r>
      <w:r w:rsidRPr="00C8133D">
        <w:rPr>
          <w:rFonts w:ascii="Times New Roman" w:hAnsi="Times New Roman" w:cs="Times New Roman"/>
          <w:sz w:val="24"/>
          <w:szCs w:val="24"/>
        </w:rPr>
        <w:t xml:space="preserve">xygen (20.9%), </w:t>
      </w:r>
      <w:r w:rsidR="00DC0AF2">
        <w:rPr>
          <w:rFonts w:ascii="Times New Roman" w:hAnsi="Times New Roman" w:cs="Times New Roman"/>
          <w:sz w:val="24"/>
          <w:szCs w:val="24"/>
        </w:rPr>
        <w:t>a</w:t>
      </w:r>
      <w:r w:rsidRPr="00C8133D">
        <w:rPr>
          <w:rFonts w:ascii="Times New Roman" w:hAnsi="Times New Roman" w:cs="Times New Roman"/>
          <w:sz w:val="24"/>
          <w:szCs w:val="24"/>
        </w:rPr>
        <w:t xml:space="preserve">rgon (0.9%) and </w:t>
      </w:r>
      <w:r w:rsidR="00DC0AF2">
        <w:rPr>
          <w:rFonts w:ascii="Times New Roman" w:hAnsi="Times New Roman" w:cs="Times New Roman"/>
          <w:sz w:val="24"/>
          <w:szCs w:val="24"/>
        </w:rPr>
        <w:t>o</w:t>
      </w:r>
      <w:r w:rsidRPr="00C8133D">
        <w:rPr>
          <w:rFonts w:ascii="Times New Roman" w:hAnsi="Times New Roman" w:cs="Times New Roman"/>
          <w:sz w:val="24"/>
          <w:szCs w:val="24"/>
        </w:rPr>
        <w:t xml:space="preserve">ther </w:t>
      </w:r>
      <w:r w:rsidR="00DC0AF2">
        <w:rPr>
          <w:rFonts w:ascii="Times New Roman" w:hAnsi="Times New Roman" w:cs="Times New Roman"/>
          <w:sz w:val="24"/>
          <w:szCs w:val="24"/>
        </w:rPr>
        <w:t>g</w:t>
      </w:r>
      <w:r w:rsidRPr="00C8133D">
        <w:rPr>
          <w:rFonts w:ascii="Times New Roman" w:hAnsi="Times New Roman" w:cs="Times New Roman"/>
          <w:sz w:val="24"/>
          <w:szCs w:val="24"/>
        </w:rPr>
        <w:t>ases (0.1%) (Warneck and Williams, 2012). Nitrogen (N</w:t>
      </w:r>
      <w:r w:rsidRPr="00C8133D">
        <w:rPr>
          <w:rFonts w:ascii="Times New Roman" w:hAnsi="Times New Roman" w:cs="Times New Roman"/>
          <w:sz w:val="24"/>
          <w:szCs w:val="24"/>
          <w:vertAlign w:val="subscript"/>
        </w:rPr>
        <w:t>2</w:t>
      </w:r>
      <w:r w:rsidRPr="00C8133D">
        <w:rPr>
          <w:rFonts w:ascii="Times New Roman" w:hAnsi="Times New Roman" w:cs="Times New Roman"/>
          <w:sz w:val="24"/>
          <w:szCs w:val="24"/>
        </w:rPr>
        <w:t xml:space="preserve">), </w:t>
      </w:r>
      <w:r w:rsidR="00DC0AF2">
        <w:rPr>
          <w:rFonts w:ascii="Times New Roman" w:hAnsi="Times New Roman" w:cs="Times New Roman"/>
          <w:sz w:val="24"/>
          <w:szCs w:val="24"/>
        </w:rPr>
        <w:t>o</w:t>
      </w:r>
      <w:r w:rsidRPr="00C8133D">
        <w:rPr>
          <w:rFonts w:ascii="Times New Roman" w:hAnsi="Times New Roman" w:cs="Times New Roman"/>
          <w:sz w:val="24"/>
          <w:szCs w:val="24"/>
        </w:rPr>
        <w:t>xygen (O</w:t>
      </w:r>
      <w:r w:rsidRPr="00C8133D">
        <w:rPr>
          <w:rFonts w:ascii="Times New Roman" w:hAnsi="Times New Roman" w:cs="Times New Roman"/>
          <w:sz w:val="24"/>
          <w:szCs w:val="24"/>
          <w:vertAlign w:val="subscript"/>
        </w:rPr>
        <w:t>2</w:t>
      </w:r>
      <w:r w:rsidRPr="00C8133D">
        <w:rPr>
          <w:rFonts w:ascii="Times New Roman" w:hAnsi="Times New Roman" w:cs="Times New Roman"/>
          <w:sz w:val="24"/>
          <w:szCs w:val="24"/>
        </w:rPr>
        <w:t xml:space="preserve">) and </w:t>
      </w:r>
      <w:r w:rsidR="00DC0AF2">
        <w:rPr>
          <w:rFonts w:ascii="Times New Roman" w:hAnsi="Times New Roman" w:cs="Times New Roman"/>
          <w:sz w:val="24"/>
          <w:szCs w:val="24"/>
        </w:rPr>
        <w:t>a</w:t>
      </w:r>
      <w:r w:rsidRPr="00C8133D">
        <w:rPr>
          <w:rFonts w:ascii="Times New Roman" w:hAnsi="Times New Roman" w:cs="Times New Roman"/>
          <w:sz w:val="24"/>
          <w:szCs w:val="24"/>
        </w:rPr>
        <w:t xml:space="preserve">rgon (Ar) collectively comprises 99.9% of the Earth’s atmosphere, but these being chemically inert gases, </w:t>
      </w:r>
      <w:r w:rsidR="00DC0AF2">
        <w:rPr>
          <w:rFonts w:ascii="Times New Roman" w:hAnsi="Times New Roman" w:cs="Times New Roman"/>
          <w:sz w:val="24"/>
          <w:szCs w:val="24"/>
        </w:rPr>
        <w:t>o</w:t>
      </w:r>
      <w:r w:rsidRPr="00C8133D">
        <w:rPr>
          <w:rFonts w:ascii="Times New Roman" w:hAnsi="Times New Roman" w:cs="Times New Roman"/>
          <w:sz w:val="24"/>
          <w:szCs w:val="24"/>
        </w:rPr>
        <w:t xml:space="preserve">ther </w:t>
      </w:r>
      <w:r w:rsidR="00DC0AF2">
        <w:rPr>
          <w:rFonts w:ascii="Times New Roman" w:hAnsi="Times New Roman" w:cs="Times New Roman"/>
          <w:sz w:val="24"/>
          <w:szCs w:val="24"/>
        </w:rPr>
        <w:t>g</w:t>
      </w:r>
      <w:r w:rsidRPr="00C8133D">
        <w:rPr>
          <w:rFonts w:ascii="Times New Roman" w:hAnsi="Times New Roman" w:cs="Times New Roman"/>
          <w:sz w:val="24"/>
          <w:szCs w:val="24"/>
        </w:rPr>
        <w:t xml:space="preserve">ases (0.1%) which are present in lowest concentrations drives the actual atmospheric chemistry. The </w:t>
      </w:r>
      <w:r w:rsidR="00DC0AF2">
        <w:rPr>
          <w:rFonts w:ascii="Times New Roman" w:hAnsi="Times New Roman" w:cs="Times New Roman"/>
          <w:sz w:val="24"/>
          <w:szCs w:val="24"/>
        </w:rPr>
        <w:t>o</w:t>
      </w:r>
      <w:r w:rsidRPr="00C8133D">
        <w:rPr>
          <w:rFonts w:ascii="Times New Roman" w:hAnsi="Times New Roman" w:cs="Times New Roman"/>
          <w:sz w:val="24"/>
          <w:szCs w:val="24"/>
        </w:rPr>
        <w:t xml:space="preserve">ther </w:t>
      </w:r>
      <w:r w:rsidR="00DC0AF2">
        <w:rPr>
          <w:rFonts w:ascii="Times New Roman" w:hAnsi="Times New Roman" w:cs="Times New Roman"/>
          <w:sz w:val="24"/>
          <w:szCs w:val="24"/>
        </w:rPr>
        <w:t>g</w:t>
      </w:r>
      <w:r w:rsidRPr="00C8133D">
        <w:rPr>
          <w:rFonts w:ascii="Times New Roman" w:hAnsi="Times New Roman" w:cs="Times New Roman"/>
          <w:sz w:val="24"/>
          <w:szCs w:val="24"/>
        </w:rPr>
        <w:t xml:space="preserve">ases are also referred to as </w:t>
      </w:r>
      <w:r w:rsidR="00DC0AF2">
        <w:rPr>
          <w:rFonts w:ascii="Times New Roman" w:hAnsi="Times New Roman" w:cs="Times New Roman"/>
          <w:sz w:val="24"/>
          <w:szCs w:val="24"/>
        </w:rPr>
        <w:t>t</w:t>
      </w:r>
      <w:r w:rsidRPr="00C8133D">
        <w:rPr>
          <w:rFonts w:ascii="Times New Roman" w:hAnsi="Times New Roman" w:cs="Times New Roman"/>
          <w:sz w:val="24"/>
          <w:szCs w:val="24"/>
        </w:rPr>
        <w:t xml:space="preserve">race </w:t>
      </w:r>
      <w:r w:rsidR="00DC0AF2">
        <w:rPr>
          <w:rFonts w:ascii="Times New Roman" w:hAnsi="Times New Roman" w:cs="Times New Roman"/>
          <w:sz w:val="24"/>
          <w:szCs w:val="24"/>
        </w:rPr>
        <w:t>g</w:t>
      </w:r>
      <w:r w:rsidRPr="00C8133D">
        <w:rPr>
          <w:rFonts w:ascii="Times New Roman" w:hAnsi="Times New Roman" w:cs="Times New Roman"/>
          <w:sz w:val="24"/>
          <w:szCs w:val="24"/>
        </w:rPr>
        <w:t>ases because of their existence in very small amo</w:t>
      </w:r>
      <w:r w:rsidR="00314BBF">
        <w:rPr>
          <w:rFonts w:ascii="Times New Roman" w:hAnsi="Times New Roman" w:cs="Times New Roman"/>
          <w:sz w:val="24"/>
          <w:szCs w:val="24"/>
        </w:rPr>
        <w:t>unts in the earth’s atmosphere. (Saha, 2008)</w:t>
      </w:r>
    </w:p>
    <w:p w14:paraId="0AD4DBA1" w14:textId="7C651438" w:rsidR="00230845" w:rsidRPr="003930D7" w:rsidRDefault="00230845" w:rsidP="006C503F">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23526F">
        <w:rPr>
          <w:rFonts w:ascii="Times New Roman" w:hAnsi="Times New Roman" w:cs="Times New Roman"/>
          <w:sz w:val="24"/>
          <w:szCs w:val="24"/>
        </w:rPr>
        <w:t>his thesis work focu</w:t>
      </w:r>
      <w:r>
        <w:rPr>
          <w:rFonts w:ascii="Times New Roman" w:hAnsi="Times New Roman" w:cs="Times New Roman"/>
          <w:sz w:val="24"/>
          <w:szCs w:val="24"/>
        </w:rPr>
        <w:t>ses majorly on the trace constituents in Earth’s atmosphere and their source apportionment.</w:t>
      </w:r>
    </w:p>
    <w:p w14:paraId="375C5480" w14:textId="4BDA99E9" w:rsidR="00385971"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Earth’s atmosphere is </w:t>
      </w:r>
      <w:r w:rsidR="006743CA">
        <w:rPr>
          <w:rFonts w:ascii="Times New Roman" w:hAnsi="Times New Roman" w:cs="Times New Roman"/>
          <w:sz w:val="24"/>
          <w:szCs w:val="24"/>
        </w:rPr>
        <w:t>stratified on the</w:t>
      </w:r>
      <w:r w:rsidRPr="00C8133D">
        <w:rPr>
          <w:rFonts w:ascii="Times New Roman" w:hAnsi="Times New Roman" w:cs="Times New Roman"/>
          <w:sz w:val="24"/>
          <w:szCs w:val="24"/>
        </w:rPr>
        <w:t xml:space="preserve"> basis </w:t>
      </w:r>
      <w:r w:rsidR="006743CA">
        <w:rPr>
          <w:rFonts w:ascii="Times New Roman" w:hAnsi="Times New Roman" w:cs="Times New Roman"/>
          <w:sz w:val="24"/>
          <w:szCs w:val="24"/>
        </w:rPr>
        <w:t xml:space="preserve">of </w:t>
      </w:r>
      <w:r w:rsidRPr="00C8133D">
        <w:rPr>
          <w:rFonts w:ascii="Times New Roman" w:hAnsi="Times New Roman" w:cs="Times New Roman"/>
          <w:sz w:val="24"/>
          <w:szCs w:val="24"/>
        </w:rPr>
        <w:t xml:space="preserve">the </w:t>
      </w:r>
      <w:r w:rsidR="006743CA">
        <w:rPr>
          <w:rFonts w:ascii="Times New Roman" w:hAnsi="Times New Roman" w:cs="Times New Roman"/>
          <w:sz w:val="24"/>
          <w:szCs w:val="24"/>
        </w:rPr>
        <w:t xml:space="preserve">observed </w:t>
      </w:r>
      <w:r w:rsidRPr="00C8133D">
        <w:rPr>
          <w:rFonts w:ascii="Times New Roman" w:hAnsi="Times New Roman" w:cs="Times New Roman"/>
          <w:sz w:val="24"/>
          <w:szCs w:val="24"/>
        </w:rPr>
        <w:t xml:space="preserve">variation </w:t>
      </w:r>
      <w:r w:rsidR="006743CA">
        <w:rPr>
          <w:rFonts w:ascii="Times New Roman" w:hAnsi="Times New Roman" w:cs="Times New Roman"/>
          <w:sz w:val="24"/>
          <w:szCs w:val="24"/>
        </w:rPr>
        <w:t xml:space="preserve">in </w:t>
      </w:r>
      <w:r w:rsidRPr="00C8133D">
        <w:rPr>
          <w:rFonts w:ascii="Times New Roman" w:hAnsi="Times New Roman" w:cs="Times New Roman"/>
          <w:sz w:val="24"/>
          <w:szCs w:val="24"/>
        </w:rPr>
        <w:t>temperature</w:t>
      </w:r>
      <w:r w:rsidR="00B1061C">
        <w:rPr>
          <w:rFonts w:ascii="Times New Roman" w:hAnsi="Times New Roman" w:cs="Times New Roman"/>
          <w:sz w:val="24"/>
          <w:szCs w:val="24"/>
        </w:rPr>
        <w:t xml:space="preserve"> at different heights</w:t>
      </w:r>
      <w:r w:rsidRPr="00C8133D">
        <w:rPr>
          <w:rFonts w:ascii="Times New Roman" w:hAnsi="Times New Roman" w:cs="Times New Roman"/>
          <w:sz w:val="24"/>
          <w:szCs w:val="24"/>
        </w:rPr>
        <w:t xml:space="preserve"> (Fig. 1.1). The</w:t>
      </w:r>
      <w:r w:rsidR="006743CA">
        <w:rPr>
          <w:rFonts w:ascii="Times New Roman" w:hAnsi="Times New Roman" w:cs="Times New Roman"/>
          <w:sz w:val="24"/>
          <w:szCs w:val="24"/>
        </w:rPr>
        <w:t xml:space="preserve"> earth’s</w:t>
      </w:r>
      <w:r w:rsidRPr="00C8133D">
        <w:rPr>
          <w:rFonts w:ascii="Times New Roman" w:hAnsi="Times New Roman" w:cs="Times New Roman"/>
          <w:sz w:val="24"/>
          <w:szCs w:val="24"/>
        </w:rPr>
        <w:t xml:space="preserve"> atmosphere is divided into five layers (Borngraber., 2018; Goddard., 2018). </w:t>
      </w:r>
      <w:r w:rsidR="00B1061C">
        <w:rPr>
          <w:rFonts w:ascii="Times New Roman" w:hAnsi="Times New Roman" w:cs="Times New Roman"/>
          <w:sz w:val="24"/>
          <w:szCs w:val="24"/>
        </w:rPr>
        <w:t>F</w:t>
      </w:r>
      <w:r w:rsidRPr="00C8133D">
        <w:rPr>
          <w:rFonts w:ascii="Times New Roman" w:hAnsi="Times New Roman" w:cs="Times New Roman"/>
          <w:sz w:val="24"/>
          <w:szCs w:val="24"/>
        </w:rPr>
        <w:t xml:space="preserve">rom the surface of the Earth and </w:t>
      </w:r>
      <w:r w:rsidR="006743CA">
        <w:rPr>
          <w:rFonts w:ascii="Times New Roman" w:hAnsi="Times New Roman" w:cs="Times New Roman"/>
          <w:sz w:val="24"/>
          <w:szCs w:val="24"/>
        </w:rPr>
        <w:t xml:space="preserve">moving </w:t>
      </w:r>
      <w:r w:rsidRPr="00C8133D">
        <w:rPr>
          <w:rFonts w:ascii="Times New Roman" w:hAnsi="Times New Roman" w:cs="Times New Roman"/>
          <w:sz w:val="24"/>
          <w:szCs w:val="24"/>
        </w:rPr>
        <w:t>up; these</w:t>
      </w:r>
      <w:r w:rsidR="006743CA">
        <w:rPr>
          <w:rFonts w:ascii="Times New Roman" w:hAnsi="Times New Roman" w:cs="Times New Roman"/>
          <w:sz w:val="24"/>
          <w:szCs w:val="24"/>
        </w:rPr>
        <w:t xml:space="preserve"> layers</w:t>
      </w:r>
      <w:r w:rsidRPr="00C8133D">
        <w:rPr>
          <w:rFonts w:ascii="Times New Roman" w:hAnsi="Times New Roman" w:cs="Times New Roman"/>
          <w:sz w:val="24"/>
          <w:szCs w:val="24"/>
        </w:rPr>
        <w:t xml:space="preserve"> are</w:t>
      </w:r>
      <w:r w:rsidR="006743CA">
        <w:rPr>
          <w:rFonts w:ascii="Times New Roman" w:hAnsi="Times New Roman" w:cs="Times New Roman"/>
          <w:sz w:val="24"/>
          <w:szCs w:val="24"/>
        </w:rPr>
        <w:t xml:space="preserve"> called as</w:t>
      </w:r>
      <w:r w:rsidRPr="00C8133D">
        <w:rPr>
          <w:rFonts w:ascii="Times New Roman" w:hAnsi="Times New Roman" w:cs="Times New Roman"/>
          <w:sz w:val="24"/>
          <w:szCs w:val="24"/>
        </w:rPr>
        <w:t xml:space="preserve"> troposphere</w:t>
      </w:r>
      <w:r w:rsidR="006743CA">
        <w:rPr>
          <w:rFonts w:ascii="Times New Roman" w:hAnsi="Times New Roman" w:cs="Times New Roman"/>
          <w:sz w:val="24"/>
          <w:szCs w:val="24"/>
        </w:rPr>
        <w:t xml:space="preserve"> (lowest layer)</w:t>
      </w:r>
      <w:r w:rsidRPr="00C8133D">
        <w:rPr>
          <w:rFonts w:ascii="Times New Roman" w:hAnsi="Times New Roman" w:cs="Times New Roman"/>
          <w:sz w:val="24"/>
          <w:szCs w:val="24"/>
        </w:rPr>
        <w:t>, stratosphere</w:t>
      </w:r>
      <w:r w:rsidR="006743CA">
        <w:rPr>
          <w:rFonts w:ascii="Times New Roman" w:hAnsi="Times New Roman" w:cs="Times New Roman"/>
          <w:sz w:val="24"/>
          <w:szCs w:val="24"/>
        </w:rPr>
        <w:t xml:space="preserve"> (next to troposphere</w:t>
      </w:r>
      <w:r w:rsidR="00B04868">
        <w:rPr>
          <w:rFonts w:ascii="Times New Roman" w:hAnsi="Times New Roman" w:cs="Times New Roman"/>
          <w:sz w:val="24"/>
          <w:szCs w:val="24"/>
        </w:rPr>
        <w:t>),</w:t>
      </w:r>
      <w:r w:rsidRPr="00C8133D">
        <w:rPr>
          <w:rFonts w:ascii="Times New Roman" w:hAnsi="Times New Roman" w:cs="Times New Roman"/>
          <w:sz w:val="24"/>
          <w:szCs w:val="24"/>
        </w:rPr>
        <w:t xml:space="preserve"> mesosphere</w:t>
      </w:r>
      <w:r w:rsidR="006743CA">
        <w:rPr>
          <w:rFonts w:ascii="Times New Roman" w:hAnsi="Times New Roman" w:cs="Times New Roman"/>
          <w:sz w:val="24"/>
          <w:szCs w:val="24"/>
        </w:rPr>
        <w:t xml:space="preserve"> (next to stratosphere)</w:t>
      </w:r>
      <w:r w:rsidRPr="00C8133D">
        <w:rPr>
          <w:rFonts w:ascii="Times New Roman" w:hAnsi="Times New Roman" w:cs="Times New Roman"/>
          <w:sz w:val="24"/>
          <w:szCs w:val="24"/>
        </w:rPr>
        <w:t>, thermosphere</w:t>
      </w:r>
      <w:r w:rsidR="006743CA">
        <w:rPr>
          <w:rFonts w:ascii="Times New Roman" w:hAnsi="Times New Roman" w:cs="Times New Roman"/>
          <w:sz w:val="24"/>
          <w:szCs w:val="24"/>
        </w:rPr>
        <w:t xml:space="preserve"> (next to mesosphere)</w:t>
      </w:r>
      <w:r w:rsidRPr="00C8133D">
        <w:rPr>
          <w:rFonts w:ascii="Times New Roman" w:hAnsi="Times New Roman" w:cs="Times New Roman"/>
          <w:sz w:val="24"/>
          <w:szCs w:val="24"/>
        </w:rPr>
        <w:t xml:space="preserve"> and exosphere </w:t>
      </w:r>
      <w:r w:rsidR="006743CA">
        <w:rPr>
          <w:rFonts w:ascii="Times New Roman" w:hAnsi="Times New Roman" w:cs="Times New Roman"/>
          <w:sz w:val="24"/>
          <w:szCs w:val="24"/>
        </w:rPr>
        <w:t xml:space="preserve">(topmost layer) </w:t>
      </w:r>
      <w:r w:rsidRPr="00C8133D">
        <w:rPr>
          <w:rFonts w:ascii="Times New Roman" w:hAnsi="Times New Roman" w:cs="Times New Roman"/>
          <w:sz w:val="24"/>
          <w:szCs w:val="24"/>
        </w:rPr>
        <w:t>as shown in Figure 1.1.</w:t>
      </w:r>
    </w:p>
    <w:p w14:paraId="609E19A2" w14:textId="26489A76" w:rsidR="00C05C18" w:rsidRPr="00C8133D" w:rsidRDefault="00C05C18" w:rsidP="00C05C18">
      <w:pPr>
        <w:spacing w:line="360" w:lineRule="auto"/>
        <w:jc w:val="both"/>
        <w:rPr>
          <w:rFonts w:ascii="Times New Roman" w:hAnsi="Times New Roman" w:cs="Times New Roman"/>
          <w:sz w:val="24"/>
          <w:szCs w:val="24"/>
        </w:rPr>
      </w:pPr>
      <w:r w:rsidRPr="00C8133D">
        <w:rPr>
          <w:rFonts w:ascii="Times New Roman" w:eastAsia="Yu Gothic UI Light" w:hAnsi="Times New Roman" w:cs="Times New Roman"/>
          <w:sz w:val="24"/>
          <w:szCs w:val="24"/>
        </w:rPr>
        <w:t xml:space="preserve">Thermopause, </w:t>
      </w:r>
      <w:r w:rsidR="00B04868">
        <w:rPr>
          <w:rFonts w:ascii="Times New Roman" w:eastAsia="Yu Gothic UI Light" w:hAnsi="Times New Roman" w:cs="Times New Roman"/>
          <w:sz w:val="24"/>
          <w:szCs w:val="24"/>
        </w:rPr>
        <w:t>m</w:t>
      </w:r>
      <w:r w:rsidRPr="00C8133D">
        <w:rPr>
          <w:rFonts w:ascii="Times New Roman" w:eastAsia="Yu Gothic UI Light" w:hAnsi="Times New Roman" w:cs="Times New Roman"/>
          <w:sz w:val="24"/>
          <w:szCs w:val="24"/>
        </w:rPr>
        <w:t xml:space="preserve">esopause, </w:t>
      </w:r>
      <w:r w:rsidR="00B04868">
        <w:rPr>
          <w:rFonts w:ascii="Times New Roman" w:eastAsia="Yu Gothic UI Light" w:hAnsi="Times New Roman" w:cs="Times New Roman"/>
          <w:sz w:val="24"/>
          <w:szCs w:val="24"/>
        </w:rPr>
        <w:t>s</w:t>
      </w:r>
      <w:r w:rsidRPr="00C8133D">
        <w:rPr>
          <w:rFonts w:ascii="Times New Roman" w:eastAsia="Yu Gothic UI Light" w:hAnsi="Times New Roman" w:cs="Times New Roman"/>
          <w:sz w:val="24"/>
          <w:szCs w:val="24"/>
        </w:rPr>
        <w:t xml:space="preserve">tratopose and </w:t>
      </w:r>
      <w:r w:rsidR="00B04868">
        <w:rPr>
          <w:rFonts w:ascii="Times New Roman" w:eastAsia="Yu Gothic UI Light" w:hAnsi="Times New Roman" w:cs="Times New Roman"/>
          <w:sz w:val="24"/>
          <w:szCs w:val="24"/>
        </w:rPr>
        <w:t>t</w:t>
      </w:r>
      <w:r w:rsidRPr="00C8133D">
        <w:rPr>
          <w:rFonts w:ascii="Times New Roman" w:eastAsia="Yu Gothic UI Light" w:hAnsi="Times New Roman" w:cs="Times New Roman"/>
          <w:sz w:val="24"/>
          <w:szCs w:val="24"/>
        </w:rPr>
        <w:t xml:space="preserve">ropopause (Fig. 1.1) are the transition layers separating </w:t>
      </w:r>
      <w:r w:rsidR="00B04868">
        <w:rPr>
          <w:rFonts w:ascii="Times New Roman" w:eastAsia="Yu Gothic UI Light" w:hAnsi="Times New Roman" w:cs="Times New Roman"/>
          <w:sz w:val="24"/>
          <w:szCs w:val="24"/>
        </w:rPr>
        <w:t>e</w:t>
      </w:r>
      <w:r w:rsidRPr="00C8133D">
        <w:rPr>
          <w:rFonts w:ascii="Times New Roman" w:eastAsia="Yu Gothic UI Light" w:hAnsi="Times New Roman" w:cs="Times New Roman"/>
          <w:sz w:val="24"/>
          <w:szCs w:val="24"/>
        </w:rPr>
        <w:t xml:space="preserve">xosphere from </w:t>
      </w:r>
      <w:r w:rsidR="00B04868">
        <w:rPr>
          <w:rFonts w:ascii="Times New Roman" w:eastAsia="Yu Gothic UI Light" w:hAnsi="Times New Roman" w:cs="Times New Roman"/>
          <w:sz w:val="24"/>
          <w:szCs w:val="24"/>
        </w:rPr>
        <w:t>t</w:t>
      </w:r>
      <w:r w:rsidRPr="00C8133D">
        <w:rPr>
          <w:rFonts w:ascii="Times New Roman" w:eastAsia="Yu Gothic UI Light" w:hAnsi="Times New Roman" w:cs="Times New Roman"/>
          <w:sz w:val="24"/>
          <w:szCs w:val="24"/>
        </w:rPr>
        <w:t xml:space="preserve">hermosphere, </w:t>
      </w:r>
      <w:r w:rsidR="00B04868">
        <w:rPr>
          <w:rFonts w:ascii="Times New Roman" w:eastAsia="Yu Gothic UI Light" w:hAnsi="Times New Roman" w:cs="Times New Roman"/>
          <w:sz w:val="24"/>
          <w:szCs w:val="24"/>
        </w:rPr>
        <w:t>t</w:t>
      </w:r>
      <w:r w:rsidRPr="00C8133D">
        <w:rPr>
          <w:rFonts w:ascii="Times New Roman" w:eastAsia="Yu Gothic UI Light" w:hAnsi="Times New Roman" w:cs="Times New Roman"/>
          <w:sz w:val="24"/>
          <w:szCs w:val="24"/>
        </w:rPr>
        <w:t xml:space="preserve">hermosphere from </w:t>
      </w:r>
      <w:r w:rsidR="00B04868">
        <w:rPr>
          <w:rFonts w:ascii="Times New Roman" w:eastAsia="Yu Gothic UI Light" w:hAnsi="Times New Roman" w:cs="Times New Roman"/>
          <w:sz w:val="24"/>
          <w:szCs w:val="24"/>
        </w:rPr>
        <w:t>m</w:t>
      </w:r>
      <w:r w:rsidRPr="00C8133D">
        <w:rPr>
          <w:rFonts w:ascii="Times New Roman" w:eastAsia="Yu Gothic UI Light" w:hAnsi="Times New Roman" w:cs="Times New Roman"/>
          <w:sz w:val="24"/>
          <w:szCs w:val="24"/>
        </w:rPr>
        <w:t xml:space="preserve">esosphere, </w:t>
      </w:r>
      <w:r w:rsidR="00B04868">
        <w:rPr>
          <w:rFonts w:ascii="Times New Roman" w:eastAsia="Yu Gothic UI Light" w:hAnsi="Times New Roman" w:cs="Times New Roman"/>
          <w:sz w:val="24"/>
          <w:szCs w:val="24"/>
        </w:rPr>
        <w:t>m</w:t>
      </w:r>
      <w:r w:rsidRPr="00C8133D">
        <w:rPr>
          <w:rFonts w:ascii="Times New Roman" w:eastAsia="Yu Gothic UI Light" w:hAnsi="Times New Roman" w:cs="Times New Roman"/>
          <w:sz w:val="24"/>
          <w:szCs w:val="24"/>
        </w:rPr>
        <w:t xml:space="preserve">esosphere from </w:t>
      </w:r>
      <w:r w:rsidR="00B04868">
        <w:rPr>
          <w:rFonts w:ascii="Times New Roman" w:eastAsia="Yu Gothic UI Light" w:hAnsi="Times New Roman" w:cs="Times New Roman"/>
          <w:sz w:val="24"/>
          <w:szCs w:val="24"/>
        </w:rPr>
        <w:t>s</w:t>
      </w:r>
      <w:r w:rsidRPr="00C8133D">
        <w:rPr>
          <w:rFonts w:ascii="Times New Roman" w:eastAsia="Yu Gothic UI Light" w:hAnsi="Times New Roman" w:cs="Times New Roman"/>
          <w:sz w:val="24"/>
          <w:szCs w:val="24"/>
        </w:rPr>
        <w:t xml:space="preserve">tratosphere, and </w:t>
      </w:r>
      <w:r w:rsidR="00B04868">
        <w:rPr>
          <w:rFonts w:ascii="Times New Roman" w:eastAsia="Yu Gothic UI Light" w:hAnsi="Times New Roman" w:cs="Times New Roman"/>
          <w:sz w:val="24"/>
          <w:szCs w:val="24"/>
        </w:rPr>
        <w:t>s</w:t>
      </w:r>
      <w:r w:rsidRPr="00C8133D">
        <w:rPr>
          <w:rFonts w:ascii="Times New Roman" w:eastAsia="Yu Gothic UI Light" w:hAnsi="Times New Roman" w:cs="Times New Roman"/>
          <w:sz w:val="24"/>
          <w:szCs w:val="24"/>
        </w:rPr>
        <w:t xml:space="preserve">tratosphere from </w:t>
      </w:r>
      <w:r w:rsidR="00B04868">
        <w:rPr>
          <w:rFonts w:ascii="Times New Roman" w:eastAsia="Yu Gothic UI Light" w:hAnsi="Times New Roman" w:cs="Times New Roman"/>
          <w:sz w:val="24"/>
          <w:szCs w:val="24"/>
        </w:rPr>
        <w:t>t</w:t>
      </w:r>
      <w:r w:rsidRPr="00C8133D">
        <w:rPr>
          <w:rFonts w:ascii="Times New Roman" w:eastAsia="Yu Gothic UI Light" w:hAnsi="Times New Roman" w:cs="Times New Roman"/>
          <w:sz w:val="24"/>
          <w:szCs w:val="24"/>
        </w:rPr>
        <w:t>roposphere</w:t>
      </w:r>
      <w:r w:rsidR="00B04868">
        <w:rPr>
          <w:rFonts w:ascii="Times New Roman" w:eastAsia="Yu Gothic UI Light" w:hAnsi="Times New Roman" w:cs="Times New Roman"/>
          <w:sz w:val="24"/>
          <w:szCs w:val="24"/>
        </w:rPr>
        <w:t>,</w:t>
      </w:r>
      <w:r w:rsidRPr="00C8133D">
        <w:rPr>
          <w:rFonts w:ascii="Times New Roman" w:eastAsia="Yu Gothic UI Light" w:hAnsi="Times New Roman" w:cs="Times New Roman"/>
          <w:sz w:val="24"/>
          <w:szCs w:val="24"/>
        </w:rPr>
        <w:t xml:space="preserve"> respectively.</w:t>
      </w:r>
    </w:p>
    <w:p w14:paraId="42E7FD97" w14:textId="5A7C7A6E" w:rsidR="00C05C18" w:rsidRDefault="0023526F" w:rsidP="0023526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work carried out in this thesis focuses on Troposphere that </w:t>
      </w:r>
      <w:r w:rsidRPr="00C8133D">
        <w:rPr>
          <w:rFonts w:ascii="Times New Roman" w:hAnsi="Times New Roman" w:cs="Times New Roman"/>
          <w:sz w:val="24"/>
          <w:szCs w:val="24"/>
        </w:rPr>
        <w:t>extends up to approximately 10 km from the ground.</w:t>
      </w:r>
    </w:p>
    <w:p w14:paraId="6C229554" w14:textId="77777777" w:rsidR="00385971" w:rsidRPr="00C8133D" w:rsidRDefault="00385971" w:rsidP="00C8133D">
      <w:pPr>
        <w:spacing w:line="360" w:lineRule="auto"/>
        <w:jc w:val="center"/>
        <w:rPr>
          <w:rFonts w:ascii="Times New Roman" w:hAnsi="Times New Roman" w:cs="Times New Roman"/>
          <w:sz w:val="24"/>
          <w:szCs w:val="24"/>
        </w:rPr>
      </w:pPr>
      <w:r w:rsidRPr="00C8133D">
        <w:rPr>
          <w:rFonts w:ascii="Times New Roman" w:hAnsi="Times New Roman" w:cs="Times New Roman"/>
          <w:noProof/>
          <w:sz w:val="24"/>
          <w:szCs w:val="24"/>
          <w:lang w:eastAsia="en-IN"/>
        </w:rPr>
        <w:lastRenderedPageBreak/>
        <w:drawing>
          <wp:inline distT="0" distB="0" distL="0" distR="0" wp14:anchorId="4DA0D06C" wp14:editId="724851F8">
            <wp:extent cx="3530486" cy="4383965"/>
            <wp:effectExtent l="0" t="0" r="0" b="7620"/>
            <wp:docPr id="19871867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30486" cy="4383965"/>
                    </a:xfrm>
                    <a:prstGeom prst="rect">
                      <a:avLst/>
                    </a:prstGeom>
                    <a:noFill/>
                    <a:ln>
                      <a:noFill/>
                    </a:ln>
                  </pic:spPr>
                </pic:pic>
              </a:graphicData>
            </a:graphic>
          </wp:inline>
        </w:drawing>
      </w:r>
    </w:p>
    <w:p w14:paraId="05C7A7C3" w14:textId="494E1284" w:rsidR="00385971" w:rsidRPr="00C8133D" w:rsidRDefault="0043609E" w:rsidP="00C8133D">
      <w:pPr>
        <w:pStyle w:val="Caption"/>
        <w:spacing w:line="360" w:lineRule="auto"/>
        <w:jc w:val="both"/>
        <w:rPr>
          <w:rFonts w:ascii="Times New Roman" w:hAnsi="Times New Roman" w:cs="Times New Roman"/>
          <w:color w:val="auto"/>
          <w:sz w:val="24"/>
          <w:szCs w:val="24"/>
        </w:rPr>
      </w:pPr>
      <w:bookmarkStart w:id="3" w:name="_Toc133575309"/>
      <w:bookmarkStart w:id="4" w:name="_Toc133576755"/>
      <w:r w:rsidRPr="00C8133D">
        <w:rPr>
          <w:rFonts w:ascii="Times New Roman" w:hAnsi="Times New Roman" w:cs="Times New Roman"/>
          <w:color w:val="auto"/>
          <w:sz w:val="24"/>
          <w:szCs w:val="24"/>
        </w:rPr>
        <w:t xml:space="preserve">Figure 1. </w:t>
      </w:r>
      <w:r w:rsidRPr="00C8133D">
        <w:rPr>
          <w:rFonts w:ascii="Times New Roman" w:hAnsi="Times New Roman" w:cs="Times New Roman"/>
          <w:color w:val="auto"/>
          <w:sz w:val="24"/>
          <w:szCs w:val="24"/>
        </w:rPr>
        <w:fldChar w:fldCharType="begin"/>
      </w:r>
      <w:r w:rsidRPr="00C8133D">
        <w:rPr>
          <w:rFonts w:ascii="Times New Roman" w:hAnsi="Times New Roman" w:cs="Times New Roman"/>
          <w:color w:val="auto"/>
          <w:sz w:val="24"/>
          <w:szCs w:val="24"/>
        </w:rPr>
        <w:instrText xml:space="preserve"> SEQ Figure_1. \* ARABIC </w:instrText>
      </w:r>
      <w:r w:rsidRPr="00C8133D">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w:t>
      </w:r>
      <w:r w:rsidRPr="00C8133D">
        <w:rPr>
          <w:rFonts w:ascii="Times New Roman" w:hAnsi="Times New Roman" w:cs="Times New Roman"/>
          <w:color w:val="auto"/>
          <w:sz w:val="24"/>
          <w:szCs w:val="24"/>
        </w:rPr>
        <w:fldChar w:fldCharType="end"/>
      </w:r>
      <w:r w:rsidR="003635E4" w:rsidRPr="00C8133D">
        <w:rPr>
          <w:rFonts w:ascii="Times New Roman" w:hAnsi="Times New Roman" w:cs="Times New Roman"/>
          <w:color w:val="auto"/>
          <w:sz w:val="24"/>
          <w:szCs w:val="24"/>
        </w:rPr>
        <w:t xml:space="preserve"> </w:t>
      </w:r>
      <w:r w:rsidR="00385971" w:rsidRPr="00C8133D">
        <w:rPr>
          <w:rFonts w:ascii="Times New Roman" w:hAnsi="Times New Roman" w:cs="Times New Roman"/>
          <w:color w:val="auto"/>
          <w:sz w:val="24"/>
          <w:szCs w:val="24"/>
        </w:rPr>
        <w:t>Different layers within the atmosphere of the Earth and their temperature profiles (Source: https://www.noaa.gov/jetstream/atmosphere/layers-of-atmosphere)</w:t>
      </w:r>
      <w:bookmarkEnd w:id="3"/>
      <w:bookmarkEnd w:id="4"/>
      <w:r w:rsidR="00B04868">
        <w:rPr>
          <w:rFonts w:ascii="Times New Roman" w:hAnsi="Times New Roman" w:cs="Times New Roman"/>
          <w:color w:val="auto"/>
          <w:sz w:val="24"/>
          <w:szCs w:val="24"/>
        </w:rPr>
        <w:t>.</w:t>
      </w:r>
    </w:p>
    <w:p w14:paraId="4B22A730" w14:textId="5FA21693" w:rsidR="00385971" w:rsidRPr="00C8133D" w:rsidRDefault="00385971" w:rsidP="00C8133D">
      <w:pPr>
        <w:keepNext/>
        <w:keepLines/>
        <w:spacing w:before="40" w:after="0" w:line="360" w:lineRule="auto"/>
        <w:jc w:val="both"/>
        <w:outlineLvl w:val="1"/>
        <w:rPr>
          <w:rFonts w:ascii="Times New Roman" w:eastAsiaTheme="majorEastAsia" w:hAnsi="Times New Roman" w:cs="Times New Roman"/>
          <w:b/>
          <w:bCs/>
          <w:sz w:val="24"/>
          <w:szCs w:val="24"/>
        </w:rPr>
      </w:pPr>
      <w:bookmarkStart w:id="5" w:name="_Toc146809828"/>
      <w:r w:rsidRPr="00C8133D">
        <w:rPr>
          <w:rFonts w:ascii="Times New Roman" w:eastAsiaTheme="majorEastAsia" w:hAnsi="Times New Roman" w:cs="Times New Roman"/>
          <w:b/>
          <w:bCs/>
          <w:sz w:val="24"/>
          <w:szCs w:val="24"/>
        </w:rPr>
        <w:t>1.2</w:t>
      </w:r>
      <w:r w:rsidRPr="00C8133D">
        <w:rPr>
          <w:rFonts w:ascii="Times New Roman" w:eastAsiaTheme="majorEastAsia" w:hAnsi="Times New Roman" w:cs="Times New Roman"/>
          <w:b/>
          <w:bCs/>
          <w:sz w:val="24"/>
          <w:szCs w:val="24"/>
        </w:rPr>
        <w:tab/>
        <w:t xml:space="preserve">Sources and </w:t>
      </w:r>
      <w:r w:rsidR="00FF4811" w:rsidRPr="00C8133D">
        <w:rPr>
          <w:rFonts w:ascii="Times New Roman" w:eastAsiaTheme="majorEastAsia" w:hAnsi="Times New Roman" w:cs="Times New Roman"/>
          <w:b/>
          <w:bCs/>
          <w:sz w:val="24"/>
          <w:szCs w:val="24"/>
        </w:rPr>
        <w:t>S</w:t>
      </w:r>
      <w:r w:rsidRPr="00C8133D">
        <w:rPr>
          <w:rFonts w:ascii="Times New Roman" w:eastAsiaTheme="majorEastAsia" w:hAnsi="Times New Roman" w:cs="Times New Roman"/>
          <w:b/>
          <w:bCs/>
          <w:sz w:val="24"/>
          <w:szCs w:val="24"/>
        </w:rPr>
        <w:t>inks of Volatile Organic Compounds and Particulate Matter</w:t>
      </w:r>
      <w:bookmarkEnd w:id="5"/>
    </w:p>
    <w:p w14:paraId="0B74B60E" w14:textId="7512F596"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Volatile organic compounds</w:t>
      </w:r>
      <w:r w:rsidR="00B04868">
        <w:rPr>
          <w:rFonts w:ascii="Times New Roman" w:hAnsi="Times New Roman" w:cs="Times New Roman"/>
          <w:sz w:val="24"/>
          <w:szCs w:val="24"/>
        </w:rPr>
        <w:t xml:space="preserve"> (VOCs)</w:t>
      </w:r>
      <w:r w:rsidRPr="00C8133D">
        <w:rPr>
          <w:rFonts w:ascii="Times New Roman" w:hAnsi="Times New Roman" w:cs="Times New Roman"/>
          <w:sz w:val="24"/>
          <w:szCs w:val="24"/>
        </w:rPr>
        <w:t xml:space="preserve"> include all vapor-phase atmospheric organic compounds other than CO and CO</w:t>
      </w:r>
      <w:r w:rsidRPr="00C8133D">
        <w:rPr>
          <w:rFonts w:ascii="Times New Roman" w:hAnsi="Times New Roman" w:cs="Times New Roman"/>
          <w:sz w:val="24"/>
          <w:szCs w:val="24"/>
          <w:vertAlign w:val="subscript"/>
        </w:rPr>
        <w:t>2</w:t>
      </w:r>
      <w:r w:rsidRPr="00C8133D">
        <w:rPr>
          <w:rFonts w:ascii="Times New Roman" w:hAnsi="Times New Roman" w:cs="Times New Roman"/>
          <w:sz w:val="24"/>
          <w:szCs w:val="24"/>
        </w:rPr>
        <w:t xml:space="preserve"> (</w:t>
      </w:r>
      <w:r w:rsidRPr="00C8133D">
        <w:rPr>
          <w:rFonts w:ascii="Times New Roman" w:hAnsi="Times New Roman" w:cs="Times New Roman"/>
          <w:sz w:val="24"/>
          <w:szCs w:val="24"/>
          <w:shd w:val="clear" w:color="auto" w:fill="FFFFFF"/>
        </w:rPr>
        <w:t>Seinfield and Pandis, 2006). Sources of VOCs are numerous and present everywhere. They have diverse range of both natural and</w:t>
      </w:r>
      <w:r w:rsidRPr="00C8133D">
        <w:rPr>
          <w:rFonts w:ascii="Times New Roman" w:hAnsi="Times New Roman" w:cs="Times New Roman"/>
          <w:sz w:val="24"/>
          <w:szCs w:val="24"/>
        </w:rPr>
        <w:t xml:space="preserve"> anthropogenic sources of emission. Important anthropogenic source categories responsible for VOC emissions comprises of the following kinds of processes: biological, combustion, fossil fuel linked, solvent application and industry related (Friedrich &amp; Obermeier, 1999). Major anthropogenic contributions to VOC emissions worldwide comes from fossil fuels related usages (Bailey et al., 1990; Haszpra and Szilagyi, 1994; Barletta et al., 2005; Koppmann, 2008) followed by solvents’ evaporation (Wallace and Hobbs, 2006). With regard to the natural emissions, plants are the major contributors where isoprene emissions stand out as the prime source of photo-chemically active compound in the atmosphere (Lerdau &amp; Keller, 1997; Kansal., 2008). Isoprene and monoterpene emissions together are estimated to contribute ~55% of global VOC flux </w:t>
      </w:r>
      <w:r w:rsidRPr="00C8133D">
        <w:rPr>
          <w:rFonts w:ascii="Times New Roman" w:hAnsi="Times New Roman" w:cs="Times New Roman"/>
          <w:sz w:val="24"/>
          <w:szCs w:val="24"/>
        </w:rPr>
        <w:lastRenderedPageBreak/>
        <w:t>from plant species annually (</w:t>
      </w:r>
      <w:r w:rsidRPr="00C8133D">
        <w:rPr>
          <w:rFonts w:ascii="Times New Roman" w:hAnsi="Times New Roman" w:cs="Times New Roman"/>
          <w:noProof/>
          <w:sz w:val="24"/>
          <w:szCs w:val="24"/>
        </w:rPr>
        <w:t>Guenther et al., 2000</w:t>
      </w:r>
      <w:r w:rsidRPr="00C8133D">
        <w:rPr>
          <w:rFonts w:ascii="Times New Roman" w:hAnsi="Times New Roman" w:cs="Times New Roman"/>
          <w:sz w:val="24"/>
          <w:szCs w:val="24"/>
        </w:rPr>
        <w:t xml:space="preserve">). Though biogenic emissions of VOCs contribute highest to VOC emissions at global scales, but VOCs arising out of human activities plays a significant role in influencing the local and regional air quality. </w:t>
      </w:r>
      <w:r w:rsidRPr="00C8133D">
        <w:rPr>
          <w:rFonts w:ascii="Times New Roman" w:hAnsi="Times New Roman" w:cs="Times New Roman"/>
          <w:sz w:val="24"/>
          <w:szCs w:val="24"/>
          <w:lang w:val="en-US"/>
        </w:rPr>
        <w:t>Main removal process for VOCs involves reaction with hydroxyl</w:t>
      </w:r>
      <w:r w:rsidRPr="00C8133D">
        <w:rPr>
          <w:rFonts w:ascii="Times New Roman" w:hAnsi="Times New Roman" w:cs="Times New Roman"/>
          <w:sz w:val="24"/>
          <w:szCs w:val="24"/>
        </w:rPr>
        <w:t xml:space="preserve"> radical (OH) and their eventual deposition (Helmig et al., 2011). As a matter of fact, hydroxyl radical actually registers for more than 90% of the daily averaged loss rates of all VOCs excluding monoterpenes </w:t>
      </w:r>
      <w:r w:rsidRPr="00C8133D">
        <w:rPr>
          <w:rFonts w:ascii="Times New Roman" w:hAnsi="Times New Roman" w:cs="Times New Roman"/>
          <w:sz w:val="24"/>
          <w:szCs w:val="24"/>
        </w:rPr>
        <w:fldChar w:fldCharType="begin" w:fldLock="1"/>
      </w:r>
      <w:r w:rsidRPr="00C8133D">
        <w:rPr>
          <w:rFonts w:ascii="Times New Roman" w:hAnsi="Times New Roman" w:cs="Times New Roman"/>
          <w:sz w:val="24"/>
          <w:szCs w:val="24"/>
        </w:rPr>
        <w:instrText>ADDIN CSL_CITATION { "citationItems" : [ { "id" : "ITEM-1", "itemData" : { "DOI" : "10.1029/2012JD018236", "ISSN" : "21698996", "abstract" : "Volatile organic compounds (VOCs) were measured online at an urban site in Beijing in August\u2013September 2010. Diurnal variations of various VOC species indicate that VOCs concentrations were influenced by photochemical removal with OH radicals for reactive species and secondary formation for oxygenated VOCs (OVOCs). A photochemical age-based parameterization method was applied to characterize VOCs chemistry. A large part of the variability in concentrations of both hydrocarbons and OVOCs was explained by this method. The determined emission ratios of hydrocarbons to acetylene agreed within a factor of two between 2005 and 2010 measurements. However, large differences were found for emission ratios of some alkanes and C8 aromatics between Beijing and northeastern United States secondary formation from anthropogenic VOCs generally contributed higher percentages to concentrations of reactive aldehydes than those of inert ketones and alcohols. Anthropogenic primary emissions accounted for the majority of ketones and alcohols concentrations. Positive matrix factorization (PMF) was also used to identify emission sources from this VOCs data set. The four resolved factors were three anthropogenic factors and a biogenic factor. However, the anthropogenic factors are attributed here to a common source at different stages of photochemical processing rather than three independent sources. Anthropogenic and biogenic sources of VOCs concentrations were not separated completely in PMF. This study indicates that photochemistry of VOCs in the atmosphere complicates the information about separated sources that can be extracted from PMF and the influence of photochemical processing must be carefully considered in the interpretation of source apportionment studies based upon PMF.", "author" : [ { "dropping-particle" : "", "family" : "Yuan", "given" : "Bin", "non-dropping-particle" : "", "parse-names" : false, "suffix" : "" }, { "dropping-particle" : "", "family" : "Shao", "given" : "Min", "non-dropping-particle" : "", "parse-names" : false, "suffix" : "" }, { "dropping-particle" : "", "family" : "Gouw", "given" : "Joost", "non-dropping-particle" : "De", "parse-names" : false, "suffix" : "" }, { "dropping-particle" : "", "family" : "Parrish", "given" : "David D.", "non-dropping-particle" : "", "parse-names" : false, "suffix" : "" }, { "dropping-particle" : "", "family" : "Lu", "given" : "Sihua", "non-dropping-particle" : "", "parse-names" : false, "suffix" : "" }, { "dropping-particle" : "", "family" : "Wang", "given" : "Ming", "non-dropping-particle" : "", "parse-names" : false, "suffix" : "" }, { "dropping-particle" : "", "family" : "Zeng", "given" : "Limin", "non-dropping-particle" : "", "parse-names" : false, "suffix" : "" }, { "dropping-particle" : "", "family" : "Zhang", "given" : "Qian", "non-dropping-particle" : "", "parse-names" : false, "suffix" : "" }, { "dropping-particle" : "", "family" : "Song", "given" : "Yu", "non-dropping-particle" : "", "parse-names" : false, "suffix" : "" }, { "dropping-particle" : "", "family" : "Zhang", "given" : "Jianbo", "non-dropping-particle" : "", "parse-names" : false, "suffix" : "" }, { "dropping-particle" : "", "family" : "Hu", "given" : "Min", "non-dropping-particle" : "", "parse-names" : false, "suffix" : "" } ], "container-title" : "Journal of Geophysical Research: Atmospheres", "id" : "ITEM-1", "issue" : "24", "issued" : { "date-parts" : [ [ "2012" ] ] }, "page" : "1-17", "title" : "Volatile organic compounds (VOCs) in urban air: How chemistry affects the interpretation of positive matrix factorization (PMF) analysis", "type" : "article-journal", "volume" : "117" }, "uris" : [ "http://www.mendeley.com/documents/?uuid=b38544c4-504c-4ee3-a635-68b7732f4c22" ] } ], "mendeley" : { "formattedCitation" : "(Yuan et al., 2012)", "plainTextFormattedCitation" : "(Yuan et al., 2012)", "previouslyFormattedCitation" : "(Yuan et al., 2012)" }, "properties" : { "noteIndex" : 0 }, "schema" : "https://github.com/citation-style-language/schema/raw/master/csl-citation.json" }</w:instrText>
      </w:r>
      <w:r w:rsidRPr="00C8133D">
        <w:rPr>
          <w:rFonts w:ascii="Times New Roman" w:hAnsi="Times New Roman" w:cs="Times New Roman"/>
          <w:sz w:val="24"/>
          <w:szCs w:val="24"/>
        </w:rPr>
        <w:fldChar w:fldCharType="separate"/>
      </w:r>
      <w:r w:rsidRPr="00C8133D">
        <w:rPr>
          <w:rFonts w:ascii="Times New Roman" w:hAnsi="Times New Roman" w:cs="Times New Roman"/>
          <w:sz w:val="24"/>
          <w:szCs w:val="24"/>
        </w:rPr>
        <w:t>(Yuan et al., 2012)</w:t>
      </w:r>
      <w:r w:rsidRPr="00C8133D">
        <w:rPr>
          <w:rFonts w:ascii="Times New Roman" w:hAnsi="Times New Roman" w:cs="Times New Roman"/>
          <w:sz w:val="24"/>
          <w:szCs w:val="24"/>
        </w:rPr>
        <w:fldChar w:fldCharType="end"/>
      </w:r>
      <w:r w:rsidRPr="00C8133D">
        <w:rPr>
          <w:rFonts w:ascii="Times New Roman" w:hAnsi="Times New Roman" w:cs="Times New Roman"/>
          <w:sz w:val="24"/>
          <w:szCs w:val="24"/>
        </w:rPr>
        <w:t>.</w:t>
      </w:r>
    </w:p>
    <w:p w14:paraId="1778F3DB" w14:textId="6D9753B0"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Particulate matter is </w:t>
      </w:r>
      <w:r w:rsidR="00EA57DE">
        <w:rPr>
          <w:rFonts w:ascii="Times New Roman" w:hAnsi="Times New Roman" w:cs="Times New Roman"/>
          <w:sz w:val="24"/>
          <w:szCs w:val="24"/>
        </w:rPr>
        <w:t xml:space="preserve">defined as </w:t>
      </w:r>
      <w:r w:rsidRPr="00C8133D">
        <w:rPr>
          <w:rFonts w:ascii="Times New Roman" w:hAnsi="Times New Roman" w:cs="Times New Roman"/>
          <w:sz w:val="24"/>
          <w:szCs w:val="24"/>
        </w:rPr>
        <w:t>a mixture of microscopic solid or liquid particles suspended in air. Major sources of PM</w:t>
      </w:r>
      <w:r w:rsidRPr="00C8133D">
        <w:rPr>
          <w:rFonts w:ascii="Times New Roman" w:hAnsi="Times New Roman" w:cs="Times New Roman"/>
          <w:sz w:val="24"/>
          <w:szCs w:val="24"/>
          <w:vertAlign w:val="subscript"/>
        </w:rPr>
        <w:t>10</w:t>
      </w:r>
      <w:r w:rsidRPr="00C8133D">
        <w:rPr>
          <w:rFonts w:ascii="Times New Roman" w:hAnsi="Times New Roman" w:cs="Times New Roman"/>
          <w:sz w:val="24"/>
          <w:szCs w:val="24"/>
        </w:rPr>
        <w:t xml:space="preserve"> and PM</w:t>
      </w:r>
      <w:r w:rsidRPr="00C8133D">
        <w:rPr>
          <w:rFonts w:ascii="Times New Roman" w:hAnsi="Times New Roman" w:cs="Times New Roman"/>
          <w:sz w:val="24"/>
          <w:szCs w:val="24"/>
          <w:vertAlign w:val="subscript"/>
        </w:rPr>
        <w:t>2.5</w:t>
      </w:r>
      <w:r w:rsidRPr="00C8133D">
        <w:rPr>
          <w:rFonts w:ascii="Times New Roman" w:hAnsi="Times New Roman" w:cs="Times New Roman"/>
          <w:sz w:val="24"/>
          <w:szCs w:val="24"/>
        </w:rPr>
        <w:t xml:space="preserve"> include road dust, construction activities, agriculture-related activities, industries, combustion of fossil fuel, forest fires and processing of metals (Fierro., 2000). But the dominant sources of coarse mode and fine mode particles generally differ. While PM</w:t>
      </w:r>
      <w:r w:rsidRPr="00C8133D">
        <w:rPr>
          <w:rFonts w:ascii="Times New Roman" w:hAnsi="Times New Roman" w:cs="Times New Roman"/>
          <w:sz w:val="24"/>
          <w:szCs w:val="24"/>
          <w:vertAlign w:val="subscript"/>
        </w:rPr>
        <w:t>2.5</w:t>
      </w:r>
      <w:r w:rsidRPr="00C8133D">
        <w:rPr>
          <w:rFonts w:ascii="Times New Roman" w:hAnsi="Times New Roman" w:cs="Times New Roman"/>
          <w:sz w:val="24"/>
          <w:szCs w:val="24"/>
        </w:rPr>
        <w:t xml:space="preserve"> mostly originates from combustion related activities and is formed from a combination of sulphate, nitrate, organic compounds, metals etc; PM</w:t>
      </w:r>
      <w:r w:rsidRPr="00C8133D">
        <w:rPr>
          <w:rFonts w:ascii="Times New Roman" w:hAnsi="Times New Roman" w:cs="Times New Roman"/>
          <w:sz w:val="24"/>
          <w:szCs w:val="24"/>
          <w:vertAlign w:val="subscript"/>
        </w:rPr>
        <w:t>10</w:t>
      </w:r>
      <w:r w:rsidRPr="00C8133D">
        <w:rPr>
          <w:rFonts w:ascii="Times New Roman" w:hAnsi="Times New Roman" w:cs="Times New Roman"/>
          <w:sz w:val="24"/>
          <w:szCs w:val="24"/>
        </w:rPr>
        <w:t xml:space="preserve"> on the other hand consists mainly in crust minerals, sea salts and biological material (like pollen, endotoxins etc.) (Fierro., 2000; </w:t>
      </w:r>
      <w:r w:rsidRPr="00C8133D">
        <w:rPr>
          <w:rFonts w:ascii="Times New Roman" w:hAnsi="Times New Roman" w:cs="Times New Roman"/>
          <w:sz w:val="24"/>
          <w:szCs w:val="24"/>
          <w:shd w:val="clear" w:color="auto" w:fill="FFFFFF"/>
        </w:rPr>
        <w:t>Weijers</w:t>
      </w:r>
      <w:r w:rsidRPr="00C8133D">
        <w:rPr>
          <w:rFonts w:ascii="Times New Roman" w:hAnsi="Times New Roman" w:cs="Times New Roman"/>
          <w:sz w:val="24"/>
          <w:szCs w:val="24"/>
        </w:rPr>
        <w:t xml:space="preserve"> et al., 2011; Adams et al., 2015; </w:t>
      </w:r>
      <w:r w:rsidRPr="00C8133D">
        <w:rPr>
          <w:rFonts w:ascii="Times New Roman" w:hAnsi="Times New Roman" w:cs="Times New Roman"/>
          <w:sz w:val="24"/>
          <w:szCs w:val="24"/>
          <w:shd w:val="clear" w:color="auto" w:fill="FFFFFF"/>
        </w:rPr>
        <w:t>Mukherjee and Agrawal, 2017</w:t>
      </w:r>
      <w:r w:rsidRPr="00C8133D">
        <w:rPr>
          <w:rFonts w:ascii="Times New Roman" w:hAnsi="Times New Roman" w:cs="Times New Roman"/>
          <w:sz w:val="24"/>
          <w:szCs w:val="24"/>
        </w:rPr>
        <w:t>). Sea salts and organic material are the most important contributors of particulate matter in the natural source emissions category</w:t>
      </w:r>
      <w:r w:rsidR="00B04868">
        <w:rPr>
          <w:rFonts w:ascii="Times New Roman" w:hAnsi="Times New Roman" w:cs="Times New Roman"/>
          <w:sz w:val="24"/>
          <w:szCs w:val="24"/>
        </w:rPr>
        <w:t>,</w:t>
      </w:r>
      <w:r w:rsidRPr="00C8133D">
        <w:rPr>
          <w:rFonts w:ascii="Times New Roman" w:hAnsi="Times New Roman" w:cs="Times New Roman"/>
          <w:sz w:val="24"/>
          <w:szCs w:val="24"/>
        </w:rPr>
        <w:t xml:space="preserve"> whereas combustion of biofuels and fossil fuels is responsible for highest emissions of primary anthropogenic particulates (NRC, 2010; </w:t>
      </w:r>
      <w:r w:rsidRPr="00C8133D">
        <w:rPr>
          <w:rFonts w:ascii="Times New Roman" w:hAnsi="Times New Roman" w:cs="Times New Roman"/>
          <w:sz w:val="24"/>
          <w:szCs w:val="24"/>
          <w:shd w:val="clear" w:color="auto" w:fill="FFFFFF"/>
        </w:rPr>
        <w:t>Weijers</w:t>
      </w:r>
      <w:r w:rsidRPr="00C8133D">
        <w:rPr>
          <w:rFonts w:ascii="Times New Roman" w:hAnsi="Times New Roman" w:cs="Times New Roman"/>
          <w:sz w:val="24"/>
          <w:szCs w:val="24"/>
        </w:rPr>
        <w:t xml:space="preserve"> et al., 2011). Deposition processes involves removal and control of atmospheric particulates’ concentration levels. Particle size and shape affects the rate of deposition processes. As to what follows from logical reasoning and intuition, it has been demonstrated that dry deposition processes could remove more of PM</w:t>
      </w:r>
      <w:r w:rsidRPr="00C8133D">
        <w:rPr>
          <w:rFonts w:ascii="Times New Roman" w:hAnsi="Times New Roman" w:cs="Times New Roman"/>
          <w:sz w:val="24"/>
          <w:szCs w:val="24"/>
          <w:vertAlign w:val="subscript"/>
        </w:rPr>
        <w:t>10</w:t>
      </w:r>
      <w:r w:rsidRPr="00C8133D">
        <w:rPr>
          <w:rFonts w:ascii="Times New Roman" w:hAnsi="Times New Roman" w:cs="Times New Roman"/>
          <w:sz w:val="24"/>
          <w:szCs w:val="24"/>
        </w:rPr>
        <w:t xml:space="preserve"> and wet deposition processes leads to more efficient removal of PM</w:t>
      </w:r>
      <w:r w:rsidRPr="00C8133D">
        <w:rPr>
          <w:rFonts w:ascii="Times New Roman" w:hAnsi="Times New Roman" w:cs="Times New Roman"/>
          <w:sz w:val="24"/>
          <w:szCs w:val="24"/>
          <w:vertAlign w:val="subscript"/>
        </w:rPr>
        <w:t xml:space="preserve">2.5 </w:t>
      </w:r>
      <w:r w:rsidRPr="00C8133D">
        <w:rPr>
          <w:rFonts w:ascii="Times New Roman" w:hAnsi="Times New Roman" w:cs="Times New Roman"/>
          <w:sz w:val="24"/>
          <w:szCs w:val="24"/>
        </w:rPr>
        <w:t>(Possanzini et al., 1988; Zannetti, 1990; Zhu et al., 2016; Wu et al., 2018).</w:t>
      </w:r>
    </w:p>
    <w:p w14:paraId="162FD7F3" w14:textId="3A7D8F2B" w:rsidR="00385971" w:rsidRPr="00C8133D" w:rsidRDefault="00385971" w:rsidP="00C8133D">
      <w:pPr>
        <w:keepNext/>
        <w:keepLines/>
        <w:spacing w:before="40" w:after="0" w:line="360" w:lineRule="auto"/>
        <w:jc w:val="both"/>
        <w:outlineLvl w:val="1"/>
        <w:rPr>
          <w:rFonts w:ascii="Times New Roman" w:eastAsiaTheme="majorEastAsia" w:hAnsi="Times New Roman" w:cs="Times New Roman"/>
          <w:b/>
          <w:bCs/>
          <w:sz w:val="24"/>
          <w:szCs w:val="24"/>
        </w:rPr>
      </w:pPr>
      <w:bookmarkStart w:id="6" w:name="_Toc146809829"/>
      <w:r w:rsidRPr="00C8133D">
        <w:rPr>
          <w:rFonts w:ascii="Times New Roman" w:eastAsiaTheme="majorEastAsia" w:hAnsi="Times New Roman" w:cs="Times New Roman"/>
          <w:b/>
          <w:bCs/>
          <w:sz w:val="24"/>
          <w:szCs w:val="24"/>
        </w:rPr>
        <w:t>1.3</w:t>
      </w:r>
      <w:r w:rsidRPr="00C8133D">
        <w:rPr>
          <w:rFonts w:ascii="Times New Roman" w:eastAsiaTheme="majorEastAsia" w:hAnsi="Times New Roman" w:cs="Times New Roman"/>
          <w:b/>
          <w:bCs/>
          <w:sz w:val="24"/>
          <w:szCs w:val="24"/>
        </w:rPr>
        <w:tab/>
        <w:t>Significance of Volatile Organic Compounds and Particulate Matter (</w:t>
      </w:r>
      <w:r w:rsidR="008A419B" w:rsidRPr="00C8133D">
        <w:rPr>
          <w:rFonts w:ascii="Times New Roman" w:eastAsiaTheme="majorEastAsia" w:hAnsi="Times New Roman" w:cs="Times New Roman"/>
          <w:b/>
          <w:bCs/>
          <w:sz w:val="24"/>
          <w:szCs w:val="24"/>
        </w:rPr>
        <w:t xml:space="preserve">Impact on </w:t>
      </w:r>
      <w:r w:rsidRPr="00C8133D">
        <w:rPr>
          <w:rFonts w:ascii="Times New Roman" w:eastAsiaTheme="majorEastAsia" w:hAnsi="Times New Roman" w:cs="Times New Roman"/>
          <w:b/>
          <w:bCs/>
          <w:sz w:val="24"/>
          <w:szCs w:val="24"/>
        </w:rPr>
        <w:t>Health and Climate)</w:t>
      </w:r>
      <w:bookmarkEnd w:id="6"/>
    </w:p>
    <w:p w14:paraId="447C5261" w14:textId="1FE980BA" w:rsidR="00385971" w:rsidRPr="00C8133D" w:rsidRDefault="00385971" w:rsidP="00C8133D">
      <w:pPr>
        <w:spacing w:line="360" w:lineRule="auto"/>
        <w:jc w:val="both"/>
        <w:rPr>
          <w:rFonts w:ascii="Times New Roman" w:eastAsia="Times New Roman" w:hAnsi="Times New Roman" w:cs="Times New Roman"/>
          <w:sz w:val="24"/>
          <w:szCs w:val="24"/>
          <w:lang w:val="en-US"/>
        </w:rPr>
      </w:pPr>
      <w:r w:rsidRPr="00C8133D">
        <w:rPr>
          <w:rFonts w:ascii="Times New Roman" w:eastAsia="Times New Roman" w:hAnsi="Times New Roman" w:cs="Times New Roman"/>
          <w:sz w:val="24"/>
          <w:szCs w:val="24"/>
        </w:rPr>
        <w:t>P</w:t>
      </w:r>
      <w:r w:rsidR="00B62CCA">
        <w:rPr>
          <w:rFonts w:ascii="Times New Roman" w:eastAsia="Times New Roman" w:hAnsi="Times New Roman" w:cs="Times New Roman"/>
          <w:sz w:val="24"/>
          <w:szCs w:val="24"/>
        </w:rPr>
        <w:t>articulate matter</w:t>
      </w:r>
      <w:r w:rsidRPr="00C8133D">
        <w:rPr>
          <w:rFonts w:ascii="Times New Roman" w:eastAsia="Times New Roman" w:hAnsi="Times New Roman" w:cs="Times New Roman"/>
          <w:sz w:val="24"/>
          <w:szCs w:val="24"/>
        </w:rPr>
        <w:t xml:space="preserve"> and many of the </w:t>
      </w:r>
      <w:r w:rsidR="00B62CCA">
        <w:rPr>
          <w:rFonts w:ascii="Times New Roman" w:eastAsia="Times New Roman" w:hAnsi="Times New Roman" w:cs="Times New Roman"/>
          <w:sz w:val="24"/>
          <w:szCs w:val="24"/>
        </w:rPr>
        <w:t>volatile organic compounds</w:t>
      </w:r>
      <w:r w:rsidRPr="00C8133D">
        <w:rPr>
          <w:rFonts w:ascii="Times New Roman" w:eastAsia="Times New Roman" w:hAnsi="Times New Roman" w:cs="Times New Roman"/>
          <w:sz w:val="24"/>
          <w:szCs w:val="24"/>
        </w:rPr>
        <w:t xml:space="preserve"> are hazardous air pollutants and have varying adverse health effects (</w:t>
      </w:r>
      <w:r w:rsidRPr="00C8133D">
        <w:rPr>
          <w:rFonts w:ascii="Times New Roman" w:hAnsi="Times New Roman" w:cs="Times New Roman"/>
          <w:sz w:val="24"/>
          <w:szCs w:val="24"/>
        </w:rPr>
        <w:t>Franchini and Mannucci, 2011; Hasan et al., 2013; Franchini et al., 2016; Soni et al., 2018; Cheng et al., 2019</w:t>
      </w:r>
      <w:r w:rsidRPr="00C8133D">
        <w:rPr>
          <w:rFonts w:ascii="Times New Roman" w:eastAsia="Times New Roman" w:hAnsi="Times New Roman" w:cs="Times New Roman"/>
          <w:sz w:val="24"/>
          <w:szCs w:val="24"/>
        </w:rPr>
        <w:t>) depending on the extent of exposure</w:t>
      </w:r>
      <w:r w:rsidR="00B62CCA">
        <w:rPr>
          <w:rFonts w:ascii="Times New Roman" w:eastAsia="Times New Roman" w:hAnsi="Times New Roman" w:cs="Times New Roman"/>
          <w:sz w:val="24"/>
          <w:szCs w:val="24"/>
        </w:rPr>
        <w:t xml:space="preserve"> to the pollutants</w:t>
      </w:r>
      <w:r w:rsidRPr="00C8133D">
        <w:rPr>
          <w:rFonts w:ascii="Times New Roman" w:eastAsia="Times New Roman" w:hAnsi="Times New Roman" w:cs="Times New Roman"/>
          <w:sz w:val="24"/>
          <w:szCs w:val="24"/>
        </w:rPr>
        <w:t xml:space="preserve"> and the amount of pollutant concentrations present in the air. Principally, the exposure to the aforementioned air pollutants causes respiratory illnesses (asthma, bronchitis, chronic obstructive pulmonary disease, lung </w:t>
      </w:r>
      <w:r w:rsidRPr="00C8133D">
        <w:rPr>
          <w:rFonts w:ascii="Times New Roman" w:eastAsia="Times New Roman" w:hAnsi="Times New Roman" w:cs="Times New Roman"/>
          <w:sz w:val="24"/>
          <w:szCs w:val="24"/>
        </w:rPr>
        <w:lastRenderedPageBreak/>
        <w:t>cancer etc.), cardiovascular diseases and dysfunctional central nervous system (</w:t>
      </w:r>
      <w:r w:rsidRPr="00C8133D">
        <w:rPr>
          <w:rFonts w:ascii="Times New Roman" w:hAnsi="Times New Roman" w:cs="Times New Roman"/>
          <w:sz w:val="24"/>
          <w:szCs w:val="24"/>
        </w:rPr>
        <w:t>Duarte-Davidson et al., 2001; Shea et al., 2008; Chauhan et al., 2014; Khilnani and Tiwari, 2018; Manisalidis et al., 2020, Maung et al., 2022)</w:t>
      </w:r>
      <w:r w:rsidRPr="00C8133D">
        <w:rPr>
          <w:rFonts w:ascii="Times New Roman" w:eastAsia="Times New Roman" w:hAnsi="Times New Roman" w:cs="Times New Roman"/>
          <w:sz w:val="24"/>
          <w:szCs w:val="24"/>
        </w:rPr>
        <w:t xml:space="preserve">. One of the most important examples of such harmful VOCs is benzene which is </w:t>
      </w:r>
      <w:r w:rsidRPr="00C8133D">
        <w:rPr>
          <w:rFonts w:ascii="Times New Roman" w:eastAsia="Times New Roman" w:hAnsi="Times New Roman" w:cs="Times New Roman"/>
          <w:sz w:val="24"/>
          <w:szCs w:val="24"/>
          <w:lang w:val="en-US"/>
        </w:rPr>
        <w:t>classified as a Group-1 carcinogen by IARC</w:t>
      </w:r>
      <w:r w:rsidRPr="00C8133D">
        <w:rPr>
          <w:rFonts w:ascii="Times New Roman" w:eastAsia="Times New Roman" w:hAnsi="Times New Roman" w:cs="Times New Roman"/>
          <w:spacing w:val="3"/>
          <w:sz w:val="24"/>
          <w:szCs w:val="24"/>
          <w:shd w:val="clear" w:color="auto" w:fill="FFFFFF"/>
          <w:lang w:val="en-US"/>
        </w:rPr>
        <w:t xml:space="preserve"> </w:t>
      </w:r>
      <w:r w:rsidR="00CF1342">
        <w:rPr>
          <w:rFonts w:ascii="Times New Roman" w:eastAsia="Times New Roman" w:hAnsi="Times New Roman" w:cs="Times New Roman"/>
          <w:spacing w:val="3"/>
          <w:sz w:val="24"/>
          <w:szCs w:val="24"/>
          <w:shd w:val="clear" w:color="auto" w:fill="FFFFFF"/>
          <w:lang w:val="en-US"/>
        </w:rPr>
        <w:t>(</w:t>
      </w:r>
      <w:r w:rsidRPr="00C8133D">
        <w:rPr>
          <w:rFonts w:ascii="Times New Roman" w:eastAsia="Times New Roman" w:hAnsi="Times New Roman" w:cs="Times New Roman"/>
          <w:sz w:val="24"/>
          <w:szCs w:val="24"/>
          <w:lang w:val="en-US"/>
        </w:rPr>
        <w:t>a research division of the World Health Organization), 1987. In case of particulates, out of PM</w:t>
      </w:r>
      <w:r w:rsidRPr="00C8133D">
        <w:rPr>
          <w:rFonts w:ascii="Times New Roman" w:eastAsia="Times New Roman" w:hAnsi="Times New Roman" w:cs="Times New Roman"/>
          <w:sz w:val="24"/>
          <w:szCs w:val="24"/>
          <w:vertAlign w:val="subscript"/>
          <w:lang w:val="en-US"/>
        </w:rPr>
        <w:t>10</w:t>
      </w:r>
      <w:r w:rsidRPr="00C8133D">
        <w:rPr>
          <w:rFonts w:ascii="Times New Roman" w:eastAsia="Times New Roman" w:hAnsi="Times New Roman" w:cs="Times New Roman"/>
          <w:sz w:val="24"/>
          <w:szCs w:val="24"/>
          <w:lang w:val="en-US"/>
        </w:rPr>
        <w:t xml:space="preserve"> and PM</w:t>
      </w:r>
      <w:r w:rsidRPr="00C8133D">
        <w:rPr>
          <w:rFonts w:ascii="Times New Roman" w:eastAsia="Times New Roman" w:hAnsi="Times New Roman" w:cs="Times New Roman"/>
          <w:sz w:val="24"/>
          <w:szCs w:val="24"/>
          <w:vertAlign w:val="subscript"/>
          <w:lang w:val="en-US"/>
        </w:rPr>
        <w:t>2.5</w:t>
      </w:r>
      <w:r w:rsidRPr="00C8133D">
        <w:rPr>
          <w:rFonts w:ascii="Times New Roman" w:eastAsia="Times New Roman" w:hAnsi="Times New Roman" w:cs="Times New Roman"/>
          <w:sz w:val="24"/>
          <w:szCs w:val="24"/>
          <w:lang w:val="en-US"/>
        </w:rPr>
        <w:t>, PM</w:t>
      </w:r>
      <w:r w:rsidRPr="00C8133D">
        <w:rPr>
          <w:rFonts w:ascii="Times New Roman" w:eastAsia="Times New Roman" w:hAnsi="Times New Roman" w:cs="Times New Roman"/>
          <w:sz w:val="24"/>
          <w:szCs w:val="24"/>
          <w:vertAlign w:val="subscript"/>
          <w:lang w:val="en-US"/>
        </w:rPr>
        <w:t>2.5</w:t>
      </w:r>
      <w:r w:rsidRPr="00C8133D">
        <w:rPr>
          <w:rFonts w:ascii="Times New Roman" w:eastAsia="Times New Roman" w:hAnsi="Times New Roman" w:cs="Times New Roman"/>
          <w:sz w:val="24"/>
          <w:szCs w:val="24"/>
          <w:lang w:val="en-US"/>
        </w:rPr>
        <w:t xml:space="preserve"> poses a greater health risk of several respiratory conditions (</w:t>
      </w:r>
      <w:r w:rsidRPr="00C8133D">
        <w:rPr>
          <w:rFonts w:ascii="Times New Roman" w:hAnsi="Times New Roman" w:cs="Times New Roman"/>
          <w:sz w:val="24"/>
          <w:szCs w:val="24"/>
        </w:rPr>
        <w:t>Kelishadi and Poursafa, 2010; Kloog et al., 2013; Zhang et al., 2019)</w:t>
      </w:r>
      <w:r w:rsidRPr="00C8133D">
        <w:rPr>
          <w:rFonts w:ascii="Times New Roman" w:eastAsia="Times New Roman" w:hAnsi="Times New Roman" w:cs="Times New Roman"/>
          <w:sz w:val="24"/>
          <w:szCs w:val="24"/>
          <w:lang w:val="en-US"/>
        </w:rPr>
        <w:t>. PM</w:t>
      </w:r>
      <w:r w:rsidRPr="00C8133D">
        <w:rPr>
          <w:rFonts w:ascii="Times New Roman" w:eastAsia="Times New Roman" w:hAnsi="Times New Roman" w:cs="Times New Roman"/>
          <w:sz w:val="24"/>
          <w:szCs w:val="24"/>
          <w:vertAlign w:val="subscript"/>
          <w:lang w:val="en-US"/>
        </w:rPr>
        <w:t>2.5</w:t>
      </w:r>
      <w:r w:rsidRPr="00C8133D">
        <w:rPr>
          <w:rFonts w:ascii="Times New Roman" w:eastAsia="Times New Roman" w:hAnsi="Times New Roman" w:cs="Times New Roman"/>
          <w:sz w:val="24"/>
          <w:szCs w:val="24"/>
          <w:lang w:val="en-US"/>
        </w:rPr>
        <w:t xml:space="preserve"> has also climbed the ladder among all the recognized air pollutants and has been designated as the air pollutant that leaves most severe impact on health (WHO, 2013; </w:t>
      </w:r>
      <w:r w:rsidRPr="00C8133D">
        <w:rPr>
          <w:rFonts w:ascii="Times New Roman" w:hAnsi="Times New Roman" w:cs="Times New Roman"/>
          <w:sz w:val="24"/>
          <w:szCs w:val="24"/>
        </w:rPr>
        <w:t>Henschel and Chan, 2013;</w:t>
      </w:r>
      <w:r w:rsidRPr="00C8133D">
        <w:rPr>
          <w:rFonts w:ascii="Times New Roman" w:hAnsi="Times New Roman" w:cs="Times New Roman"/>
          <w:sz w:val="24"/>
          <w:szCs w:val="24"/>
          <w:shd w:val="clear" w:color="auto" w:fill="FFFFFF"/>
        </w:rPr>
        <w:t xml:space="preserve"> Morawska et al., 2021)</w:t>
      </w:r>
      <w:r w:rsidRPr="00C8133D">
        <w:rPr>
          <w:rFonts w:ascii="Times New Roman" w:eastAsia="Times New Roman" w:hAnsi="Times New Roman" w:cs="Times New Roman"/>
          <w:sz w:val="24"/>
          <w:szCs w:val="24"/>
          <w:lang w:val="en-US"/>
        </w:rPr>
        <w:t>.</w:t>
      </w:r>
    </w:p>
    <w:p w14:paraId="26FD133E" w14:textId="315156A6" w:rsidR="003E19A0" w:rsidRPr="00C8133D" w:rsidRDefault="00385971" w:rsidP="00C8133D">
      <w:pPr>
        <w:spacing w:line="360" w:lineRule="auto"/>
        <w:jc w:val="both"/>
        <w:rPr>
          <w:rFonts w:ascii="Times New Roman" w:eastAsia="Times New Roman" w:hAnsi="Times New Roman" w:cs="Times New Roman"/>
          <w:sz w:val="24"/>
          <w:szCs w:val="24"/>
        </w:rPr>
      </w:pPr>
      <w:r w:rsidRPr="00C8133D">
        <w:rPr>
          <w:rFonts w:ascii="Times New Roman" w:eastAsia="Times New Roman" w:hAnsi="Times New Roman" w:cs="Times New Roman"/>
          <w:sz w:val="24"/>
          <w:szCs w:val="24"/>
          <w:lang w:val="en-US"/>
        </w:rPr>
        <w:t>Emissions of particulates and volatile organic compounds or any air pollutant into the atmosphere brings about direct (via primary emissions) or indirect (via secondary formation) alteration in the climate. Climate impact of both PM and VOCs is expected to trigger some serious consequences affecting all kinds of global ecosystems like iceberg melting, plants damage and extinction of animals in the near future (</w:t>
      </w:r>
      <w:r w:rsidRPr="00C8133D">
        <w:rPr>
          <w:rFonts w:ascii="Times New Roman" w:hAnsi="Times New Roman" w:cs="Times New Roman"/>
          <w:sz w:val="24"/>
          <w:szCs w:val="24"/>
          <w:shd w:val="clear" w:color="auto" w:fill="FFFFFF"/>
        </w:rPr>
        <w:t xml:space="preserve">MacCracken, 2008; </w:t>
      </w:r>
      <w:r w:rsidRPr="00C8133D">
        <w:rPr>
          <w:rFonts w:ascii="Times New Roman" w:eastAsia="Times New Roman" w:hAnsi="Times New Roman" w:cs="Times New Roman"/>
          <w:sz w:val="24"/>
          <w:szCs w:val="24"/>
          <w:lang w:val="en-US"/>
        </w:rPr>
        <w:t xml:space="preserve">Karl et al., 2009; </w:t>
      </w:r>
      <w:r w:rsidRPr="00C8133D">
        <w:rPr>
          <w:rFonts w:ascii="Times New Roman" w:hAnsi="Times New Roman" w:cs="Times New Roman"/>
          <w:sz w:val="24"/>
          <w:szCs w:val="24"/>
          <w:shd w:val="clear" w:color="auto" w:fill="FFFFFF"/>
        </w:rPr>
        <w:t xml:space="preserve">Moore, 2009; </w:t>
      </w:r>
      <w:r w:rsidRPr="00C8133D">
        <w:rPr>
          <w:rFonts w:ascii="Times New Roman" w:hAnsi="Times New Roman" w:cs="Times New Roman"/>
          <w:sz w:val="24"/>
          <w:szCs w:val="24"/>
        </w:rPr>
        <w:t>Marlon et al., 2019</w:t>
      </w:r>
      <w:r w:rsidRPr="00C8133D">
        <w:rPr>
          <w:rFonts w:ascii="Times New Roman" w:eastAsia="Times New Roman" w:hAnsi="Times New Roman" w:cs="Times New Roman"/>
          <w:sz w:val="24"/>
          <w:szCs w:val="24"/>
          <w:lang w:val="en-US"/>
        </w:rPr>
        <w:t xml:space="preserve">). </w:t>
      </w:r>
      <w:r w:rsidRPr="00C8133D">
        <w:rPr>
          <w:rFonts w:ascii="Times New Roman" w:eastAsia="Times New Roman" w:hAnsi="Times New Roman" w:cs="Times New Roman"/>
          <w:sz w:val="24"/>
          <w:szCs w:val="24"/>
        </w:rPr>
        <w:t>Furthermore, VOCs react with nitrogen oxides, hydroxyl radicals in presence of sunlight to form ground level ozone (</w:t>
      </w:r>
      <w:r w:rsidRPr="00C8133D">
        <w:rPr>
          <w:rFonts w:ascii="Times New Roman" w:hAnsi="Times New Roman" w:cs="Times New Roman"/>
          <w:sz w:val="24"/>
          <w:szCs w:val="24"/>
        </w:rPr>
        <w:t>Haagen-Smit, 1952; Sillman and Samson, 1995; Finlayson-Pitts and Pitts Jr, 1997; Aw and Kleeman, 2003)</w:t>
      </w:r>
      <w:r w:rsidRPr="00C8133D">
        <w:rPr>
          <w:rFonts w:ascii="Times New Roman" w:eastAsia="Times New Roman" w:hAnsi="Times New Roman" w:cs="Times New Roman"/>
          <w:sz w:val="24"/>
          <w:szCs w:val="24"/>
        </w:rPr>
        <w:t xml:space="preserve"> and secondary organic aerosol which in turn, influences climate. Apart from ozone formation and secondary organic aerosol formation, VOCs owing to their chemical transformation and feedback contributes significantly to acid deposition, photochemical smog formation (</w:t>
      </w:r>
      <w:r w:rsidRPr="00C8133D">
        <w:rPr>
          <w:rFonts w:ascii="Times New Roman" w:hAnsi="Times New Roman" w:cs="Times New Roman"/>
          <w:sz w:val="24"/>
          <w:szCs w:val="24"/>
        </w:rPr>
        <w:t>Zhou et al., 2022</w:t>
      </w:r>
      <w:r w:rsidRPr="00C8133D">
        <w:rPr>
          <w:rFonts w:ascii="Times New Roman" w:eastAsia="Times New Roman" w:hAnsi="Times New Roman" w:cs="Times New Roman"/>
          <w:sz w:val="24"/>
          <w:szCs w:val="24"/>
        </w:rPr>
        <w:t>). All these together forms a harmful recipe leading to climate change and other related effects. Interaction of PM components with sunlight (either absorption and/or scattering) and clouds induce changes in precipitation and atmospheric circulation patterns (</w:t>
      </w:r>
      <w:r w:rsidRPr="00C8133D">
        <w:rPr>
          <w:rFonts w:ascii="Times New Roman" w:hAnsi="Times New Roman" w:cs="Times New Roman"/>
          <w:sz w:val="24"/>
          <w:szCs w:val="24"/>
        </w:rPr>
        <w:t>Boucher et al., 2013; Fiore et al., 2015</w:t>
      </w:r>
      <w:r w:rsidRPr="00C8133D">
        <w:rPr>
          <w:rFonts w:ascii="Times New Roman" w:eastAsia="Times New Roman" w:hAnsi="Times New Roman" w:cs="Times New Roman"/>
          <w:sz w:val="24"/>
          <w:szCs w:val="24"/>
        </w:rPr>
        <w:t>). But inbuilt spatial and temporal heterogeneity of PM emission sources, their transport and removal, atmospheric chemistry, and particle interaction with sunlight and clouds; adds to the existing uncertainties in overall assessment and precise quantification of its effects on climate change regionally and globally (</w:t>
      </w:r>
      <w:r w:rsidRPr="00C8133D">
        <w:rPr>
          <w:rFonts w:ascii="Times New Roman" w:hAnsi="Times New Roman" w:cs="Times New Roman"/>
          <w:sz w:val="24"/>
          <w:szCs w:val="24"/>
        </w:rPr>
        <w:t xml:space="preserve">Boucher et al., 2013; </w:t>
      </w:r>
      <w:r w:rsidRPr="00C8133D">
        <w:rPr>
          <w:rFonts w:ascii="Times New Roman" w:hAnsi="Times New Roman" w:cs="Times New Roman"/>
          <w:sz w:val="24"/>
          <w:szCs w:val="24"/>
          <w:shd w:val="clear" w:color="auto" w:fill="FFFFFF"/>
        </w:rPr>
        <w:t>Myhre et al., 2013</w:t>
      </w:r>
      <w:r w:rsidRPr="00C8133D">
        <w:rPr>
          <w:rFonts w:ascii="Times New Roman" w:hAnsi="Times New Roman" w:cs="Times New Roman"/>
          <w:sz w:val="24"/>
          <w:szCs w:val="24"/>
        </w:rPr>
        <w:t>)</w:t>
      </w:r>
      <w:r w:rsidRPr="00C8133D">
        <w:rPr>
          <w:rFonts w:ascii="Times New Roman" w:eastAsia="Times New Roman" w:hAnsi="Times New Roman" w:cs="Times New Roman"/>
          <w:sz w:val="24"/>
          <w:szCs w:val="24"/>
        </w:rPr>
        <w:t>.</w:t>
      </w:r>
    </w:p>
    <w:p w14:paraId="40541004" w14:textId="7D88E75E" w:rsidR="00385971" w:rsidRPr="00C8133D" w:rsidRDefault="00385971" w:rsidP="00C8133D">
      <w:pPr>
        <w:keepNext/>
        <w:keepLines/>
        <w:spacing w:before="40" w:after="0" w:line="360" w:lineRule="auto"/>
        <w:jc w:val="both"/>
        <w:outlineLvl w:val="1"/>
        <w:rPr>
          <w:rFonts w:ascii="Times New Roman" w:eastAsiaTheme="majorEastAsia" w:hAnsi="Times New Roman" w:cs="Times New Roman"/>
          <w:b/>
          <w:bCs/>
          <w:sz w:val="24"/>
          <w:szCs w:val="24"/>
        </w:rPr>
      </w:pPr>
      <w:bookmarkStart w:id="7" w:name="_Toc146809830"/>
      <w:r w:rsidRPr="00C8133D">
        <w:rPr>
          <w:rFonts w:ascii="Times New Roman" w:eastAsiaTheme="majorEastAsia" w:hAnsi="Times New Roman" w:cs="Times New Roman"/>
          <w:b/>
          <w:bCs/>
          <w:sz w:val="24"/>
          <w:szCs w:val="24"/>
        </w:rPr>
        <w:t>1.4</w:t>
      </w:r>
      <w:r w:rsidRPr="00C8133D">
        <w:rPr>
          <w:rFonts w:ascii="Times New Roman" w:eastAsiaTheme="majorEastAsia" w:hAnsi="Times New Roman" w:cs="Times New Roman"/>
          <w:b/>
          <w:bCs/>
          <w:sz w:val="24"/>
          <w:szCs w:val="24"/>
        </w:rPr>
        <w:tab/>
        <w:t>Air pollution and source apportionment</w:t>
      </w:r>
      <w:bookmarkEnd w:id="7"/>
    </w:p>
    <w:p w14:paraId="73F744CA" w14:textId="4A5A7922" w:rsidR="00385971" w:rsidRPr="00C8133D" w:rsidRDefault="00385971" w:rsidP="00C8133D">
      <w:pPr>
        <w:spacing w:line="360" w:lineRule="auto"/>
        <w:jc w:val="both"/>
        <w:rPr>
          <w:rFonts w:ascii="Times New Roman" w:eastAsia="Times New Roman" w:hAnsi="Times New Roman" w:cs="Times New Roman"/>
          <w:sz w:val="24"/>
          <w:szCs w:val="24"/>
          <w:lang w:val="en-US"/>
        </w:rPr>
      </w:pPr>
      <w:r w:rsidRPr="00C8133D">
        <w:rPr>
          <w:rFonts w:ascii="Times New Roman" w:eastAsia="Times New Roman" w:hAnsi="Times New Roman" w:cs="Times New Roman"/>
          <w:sz w:val="24"/>
          <w:szCs w:val="24"/>
        </w:rPr>
        <w:t xml:space="preserve">Poor air quality poses a grave threat to human beings and other living organisms on this planet earth. In fact, </w:t>
      </w:r>
      <w:r w:rsidRPr="00C8133D">
        <w:rPr>
          <w:rFonts w:ascii="Times New Roman" w:eastAsia="Times New Roman" w:hAnsi="Times New Roman" w:cs="Times New Roman"/>
          <w:sz w:val="24"/>
          <w:szCs w:val="24"/>
          <w:lang w:val="en-US"/>
        </w:rPr>
        <w:t xml:space="preserve">World Health Organization reports that in 2012 around seven million </w:t>
      </w:r>
      <w:r w:rsidRPr="00C8133D">
        <w:rPr>
          <w:rFonts w:ascii="Times New Roman" w:eastAsia="Times New Roman" w:hAnsi="Times New Roman" w:cs="Times New Roman"/>
          <w:sz w:val="24"/>
          <w:szCs w:val="24"/>
          <w:lang w:val="en-US"/>
        </w:rPr>
        <w:lastRenderedPageBreak/>
        <w:t xml:space="preserve">people died because of exposure to air pollution which corresponds to about one in eight of total global deaths (WHO, 2014). Amongst these seven million deaths, approximately 1:1 ratio (around three to four million deaths in indoor and outdoor sector) </w:t>
      </w:r>
      <w:r w:rsidR="00B04868" w:rsidRPr="00C8133D">
        <w:rPr>
          <w:rFonts w:ascii="Times New Roman" w:eastAsia="Times New Roman" w:hAnsi="Times New Roman" w:cs="Times New Roman"/>
          <w:sz w:val="24"/>
          <w:szCs w:val="24"/>
          <w:lang w:val="en-US"/>
        </w:rPr>
        <w:t>were</w:t>
      </w:r>
      <w:r w:rsidRPr="00C8133D">
        <w:rPr>
          <w:rFonts w:ascii="Times New Roman" w:eastAsia="Times New Roman" w:hAnsi="Times New Roman" w:cs="Times New Roman"/>
          <w:sz w:val="24"/>
          <w:szCs w:val="24"/>
          <w:lang w:val="en-US"/>
        </w:rPr>
        <w:t xml:space="preserve"> observed for household air pollution related deaths to outdoor air pollution related deaths (Lim et al., 2012; </w:t>
      </w:r>
      <w:r w:rsidRPr="00C8133D">
        <w:rPr>
          <w:rFonts w:ascii="Times New Roman" w:hAnsi="Times New Roman" w:cs="Times New Roman"/>
          <w:sz w:val="24"/>
          <w:szCs w:val="24"/>
        </w:rPr>
        <w:t>Ravindra et al., 2016; Fuller et al., 2022</w:t>
      </w:r>
      <w:r w:rsidRPr="00C8133D">
        <w:rPr>
          <w:rFonts w:ascii="Times New Roman" w:eastAsia="Times New Roman" w:hAnsi="Times New Roman" w:cs="Times New Roman"/>
          <w:sz w:val="24"/>
          <w:szCs w:val="24"/>
          <w:lang w:val="en-US"/>
        </w:rPr>
        <w:t>). Additionally, in absence of stringent control measures, the number of seven million deaths in a year is projected to go up to nine million deaths annually by 2060 (</w:t>
      </w:r>
      <w:r w:rsidRPr="00C8133D">
        <w:rPr>
          <w:rFonts w:ascii="Times New Roman" w:hAnsi="Times New Roman" w:cs="Times New Roman"/>
          <w:sz w:val="24"/>
          <w:szCs w:val="24"/>
        </w:rPr>
        <w:t>Landrigan, 2017)</w:t>
      </w:r>
      <w:r w:rsidRPr="00C8133D">
        <w:rPr>
          <w:rFonts w:ascii="Times New Roman" w:eastAsia="Times New Roman" w:hAnsi="Times New Roman" w:cs="Times New Roman"/>
          <w:sz w:val="24"/>
          <w:szCs w:val="24"/>
          <w:lang w:val="en-US"/>
        </w:rPr>
        <w:t>.</w:t>
      </w:r>
    </w:p>
    <w:p w14:paraId="7016E354"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eastAsia="Times New Roman" w:hAnsi="Times New Roman" w:cs="Times New Roman"/>
          <w:sz w:val="24"/>
          <w:szCs w:val="24"/>
          <w:lang w:val="en-US"/>
        </w:rPr>
        <w:t>The extreme burden of the air pollution related deaths is experienced by low-income and middle-income countries (</w:t>
      </w:r>
      <w:r w:rsidRPr="00C8133D">
        <w:rPr>
          <w:rFonts w:ascii="Times New Roman" w:hAnsi="Times New Roman" w:cs="Times New Roman"/>
          <w:sz w:val="24"/>
          <w:szCs w:val="24"/>
        </w:rPr>
        <w:t>Baldasano et al., 2003; Mannucci and Franchini, 2017; Fuller et al., 2022)</w:t>
      </w:r>
      <w:r w:rsidRPr="00C8133D">
        <w:rPr>
          <w:rFonts w:ascii="Times New Roman" w:eastAsia="Times New Roman" w:hAnsi="Times New Roman" w:cs="Times New Roman"/>
          <w:sz w:val="24"/>
          <w:szCs w:val="24"/>
          <w:lang w:val="en-US"/>
        </w:rPr>
        <w:t>. Air pollution death rates are highest in low-income countries with more than 1000-fold difference between low-income and high-income countries (</w:t>
      </w:r>
      <w:r w:rsidRPr="00C8133D">
        <w:rPr>
          <w:rFonts w:ascii="Times New Roman" w:hAnsi="Times New Roman" w:cs="Times New Roman"/>
          <w:sz w:val="24"/>
          <w:szCs w:val="24"/>
        </w:rPr>
        <w:t>Ritchie and Roser, 2013</w:t>
      </w:r>
      <w:r w:rsidRPr="00C8133D">
        <w:rPr>
          <w:rFonts w:ascii="Times New Roman" w:eastAsia="Times New Roman" w:hAnsi="Times New Roman" w:cs="Times New Roman"/>
          <w:sz w:val="24"/>
          <w:szCs w:val="24"/>
          <w:lang w:val="en-US"/>
        </w:rPr>
        <w:t xml:space="preserve">). </w:t>
      </w:r>
      <w:r w:rsidRPr="00C8133D">
        <w:rPr>
          <w:rFonts w:ascii="Times New Roman" w:eastAsia="Times New Roman" w:hAnsi="Times New Roman" w:cs="Times New Roman"/>
          <w:sz w:val="24"/>
          <w:szCs w:val="24"/>
        </w:rPr>
        <w:t>Hazardous levels of air quality are recorded for India and North Indian states are topping the charts in Indian context of poor air quality (</w:t>
      </w:r>
      <w:r w:rsidRPr="00C8133D">
        <w:rPr>
          <w:rFonts w:ascii="Times New Roman" w:hAnsi="Times New Roman" w:cs="Times New Roman"/>
          <w:sz w:val="24"/>
          <w:szCs w:val="24"/>
        </w:rPr>
        <w:t xml:space="preserve">Jethva et al., 2019; Purohit et al., 2019; Emberson et al., 2001; Manisalidis et al., 2020). Six Indian cities including Delhi, Ludhiana, Khanna, Allahabad, Gwalior and Raipur feature in the list of ten most polluted cities of the world as per the World Economic Forum report (WEF, 2018; </w:t>
      </w:r>
      <w:r w:rsidRPr="00C8133D">
        <w:rPr>
          <w:rFonts w:ascii="Times New Roman" w:hAnsi="Times New Roman" w:cs="Times New Roman"/>
          <w:sz w:val="24"/>
          <w:szCs w:val="24"/>
          <w:shd w:val="clear" w:color="auto" w:fill="FFFFFF"/>
        </w:rPr>
        <w:t>Majeed et al., 2019</w:t>
      </w:r>
      <w:r w:rsidRPr="00C8133D">
        <w:rPr>
          <w:rFonts w:ascii="Times New Roman" w:hAnsi="Times New Roman" w:cs="Times New Roman"/>
          <w:sz w:val="24"/>
          <w:szCs w:val="24"/>
        </w:rPr>
        <w:t>). Delhi, the capital city of India and located in northern India; is one of the most polluted cities in the world and has exceptionally high air pollution levels compared to the national and international ambient air quality standards (</w:t>
      </w:r>
      <w:r w:rsidRPr="00C8133D">
        <w:rPr>
          <w:rFonts w:ascii="Times New Roman" w:hAnsi="Times New Roman" w:cs="Times New Roman"/>
          <w:noProof/>
          <w:sz w:val="24"/>
          <w:szCs w:val="24"/>
        </w:rPr>
        <w:t>Guttikunda, 2012; Beig et al., 2013; Rizwan et al., 2013; Sharma et al., 2018; Guo et al., 2019</w:t>
      </w:r>
      <w:r w:rsidRPr="00C8133D">
        <w:rPr>
          <w:rFonts w:ascii="Times New Roman" w:hAnsi="Times New Roman" w:cs="Times New Roman"/>
          <w:sz w:val="24"/>
          <w:szCs w:val="24"/>
        </w:rPr>
        <w:t>). As a result of Delhi’s extremely polluted air, it has been ranked highest in cardiovascular mortality (3500 per year) and also morbidity due to chronic obstructive pulmonary disease follows the similar pattern as that of cardiovascular mortality (Gurjar et al., 2010). At continent level of Asia, the world’s largest continent which houses about 60% of the total world’s population; Asia has around thirteen of its cities among the fifteen worst polluted cities in the world (Abe, 2002). The future projections of air quality over South Asia are also hinting towards a further deterioration in the regional air quality by 2050 despite of improved air quality globally in the coming years (Kumar et al., 2018).</w:t>
      </w:r>
    </w:p>
    <w:p w14:paraId="391C07B9"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The reason behind such alerting situation of air quality in developing countries is elaborated in the following text. The emissions and discharge of a multitude of pollutant substances to air, water and land is on exponential rise in developing nations because of rapid increase in urbanization and industrialization coupled with population explosion (Ezzati et al., 2005; Yang et al., 2013). This has resulted in growing number of several </w:t>
      </w:r>
      <w:r w:rsidRPr="00C8133D">
        <w:rPr>
          <w:rFonts w:ascii="Times New Roman" w:hAnsi="Times New Roman" w:cs="Times New Roman"/>
          <w:sz w:val="24"/>
          <w:szCs w:val="24"/>
        </w:rPr>
        <w:lastRenderedPageBreak/>
        <w:t xml:space="preserve">dense urban patches with poor to poorest air quality (Arrow et al., 1995; Barbera et al., 2010; Bertazzi, 2013; Pena and Rollins, 2017; Li et al., 2018; </w:t>
      </w:r>
      <w:r w:rsidRPr="00C8133D">
        <w:rPr>
          <w:rFonts w:ascii="Times New Roman" w:hAnsi="Times New Roman" w:cs="Times New Roman"/>
          <w:sz w:val="24"/>
          <w:szCs w:val="24"/>
          <w:shd w:val="clear" w:color="auto" w:fill="FFFFFF"/>
        </w:rPr>
        <w:t>Ukaogo et al., 2020</w:t>
      </w:r>
      <w:r w:rsidRPr="00C8133D">
        <w:rPr>
          <w:rFonts w:ascii="Times New Roman" w:hAnsi="Times New Roman" w:cs="Times New Roman"/>
          <w:sz w:val="24"/>
          <w:szCs w:val="24"/>
        </w:rPr>
        <w:t xml:space="preserve">). Also, due to existing and widening social and economic disparity, and the consequent reliance on biomass fuels (wood, agricultural wastes etc.) to meet the basic domestic energy requirements by a considerable section of population in developing countries (Bruce et al., 2000; Smith and Mehta, 2003; Fullerton et al., 2008; </w:t>
      </w:r>
      <w:r w:rsidRPr="00C8133D">
        <w:rPr>
          <w:rFonts w:ascii="Times New Roman" w:hAnsi="Times New Roman" w:cs="Times New Roman"/>
          <w:noProof/>
          <w:sz w:val="24"/>
          <w:szCs w:val="24"/>
        </w:rPr>
        <w:t>Colbeck</w:t>
      </w:r>
      <w:r w:rsidRPr="00C8133D">
        <w:rPr>
          <w:rFonts w:ascii="Times New Roman" w:hAnsi="Times New Roman" w:cs="Times New Roman"/>
          <w:sz w:val="24"/>
          <w:szCs w:val="24"/>
        </w:rPr>
        <w:t xml:space="preserve">  et al., 2010; Kan et al., 2012); there has been a substantial addition to the global burden of household air pollution deaths and diseases in these geographies specifically (Smith, 2000; Kim et al., 2011; Smith et al., 2014; Mannucci and Franchini, 2017).</w:t>
      </w:r>
    </w:p>
    <w:p w14:paraId="036127F1"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The impact of particulate matter and volatile organic compounds on human health and environmental health has been already discussed in the previous section. In general, almost all substances causing air pollution are observed to have detrimental effects on human health and climate and reduces visibility (Stern, 1977; Brunekreef and Holgate, 2002; Lelieveld et al., 2015; He et al., 2016; Sheng and Tang, 2016).</w:t>
      </w:r>
    </w:p>
    <w:p w14:paraId="4145F2F6" w14:textId="64F54E17" w:rsidR="00385971" w:rsidRPr="00C8133D" w:rsidRDefault="00385971" w:rsidP="00C8133D">
      <w:pPr>
        <w:spacing w:line="360" w:lineRule="auto"/>
        <w:jc w:val="both"/>
        <w:rPr>
          <w:rFonts w:ascii="Times New Roman" w:eastAsia="Times New Roman" w:hAnsi="Times New Roman" w:cs="Times New Roman"/>
          <w:sz w:val="24"/>
          <w:szCs w:val="24"/>
        </w:rPr>
      </w:pPr>
      <w:r w:rsidRPr="00C8133D">
        <w:rPr>
          <w:rFonts w:ascii="Times New Roman" w:eastAsia="Times New Roman" w:hAnsi="Times New Roman" w:cs="Times New Roman"/>
          <w:sz w:val="24"/>
          <w:szCs w:val="24"/>
        </w:rPr>
        <w:t>Qualitative and quantitative analysis of various emission sources of air pollutants is crucial to design appropriate methods to</w:t>
      </w:r>
      <w:r w:rsidRPr="00C8133D">
        <w:rPr>
          <w:rFonts w:ascii="Times New Roman" w:eastAsia="Times New Roman" w:hAnsi="Times New Roman" w:cs="Times New Roman"/>
          <w:sz w:val="24"/>
          <w:szCs w:val="24"/>
          <w:lang w:val="en-US"/>
        </w:rPr>
        <w:t xml:space="preserve"> control</w:t>
      </w:r>
      <w:r w:rsidRPr="00C8133D">
        <w:rPr>
          <w:rFonts w:ascii="Times New Roman" w:eastAsia="Times New Roman" w:hAnsi="Times New Roman" w:cs="Times New Roman"/>
          <w:sz w:val="24"/>
          <w:szCs w:val="24"/>
        </w:rPr>
        <w:t xml:space="preserve"> air pollution on local and regional scales. The detailed source information contributing to the measurements at the site of interest is captured by receptor modelling techniques. Source receptor modelling helps tackle the problem of air pollution by aiding the development of effective and efficient preventive and mitigation measures. Receptor modelling is based on the principle of mass conservation (Hopke, 2016). The receptor models help in identification and quantification of pollution sources using the ambient concentration dataset of air pollutants measured at the receptor site and generate useful insights about the sources of pollution (</w:t>
      </w:r>
      <w:r w:rsidRPr="00C8133D">
        <w:rPr>
          <w:rFonts w:ascii="Times New Roman" w:hAnsi="Times New Roman" w:cs="Times New Roman"/>
          <w:sz w:val="24"/>
          <w:szCs w:val="24"/>
        </w:rPr>
        <w:t xml:space="preserve">Friedlander, 1973; Kleinman et al., 1980; </w:t>
      </w:r>
      <w:r w:rsidRPr="00C8133D">
        <w:rPr>
          <w:rFonts w:ascii="Times New Roman" w:hAnsi="Times New Roman" w:cs="Times New Roman"/>
          <w:noProof/>
          <w:sz w:val="24"/>
          <w:szCs w:val="24"/>
        </w:rPr>
        <w:t xml:space="preserve">Daisey et al., 1986; </w:t>
      </w:r>
      <w:r w:rsidRPr="00C8133D">
        <w:rPr>
          <w:rFonts w:ascii="Times New Roman" w:hAnsi="Times New Roman" w:cs="Times New Roman"/>
          <w:sz w:val="24"/>
          <w:szCs w:val="24"/>
        </w:rPr>
        <w:t>Gordon, 1988)</w:t>
      </w:r>
      <w:r w:rsidRPr="00C8133D">
        <w:rPr>
          <w:rFonts w:ascii="Times New Roman" w:eastAsia="Times New Roman" w:hAnsi="Times New Roman" w:cs="Times New Roman"/>
          <w:sz w:val="24"/>
          <w:szCs w:val="24"/>
        </w:rPr>
        <w:t xml:space="preserve">. The most often employed receptor models to solve air pollution source apportionment include Positive Matrix Factorisation (PMF), UNMIX, Principal Component Analysis (PCA) and Chemical Mass Balance (CMB) models (Vega et al., 2000; Song et al., 2008; Viana et al., 2008; Watson et al., 2008; </w:t>
      </w:r>
      <w:r w:rsidRPr="00C8133D">
        <w:rPr>
          <w:rFonts w:ascii="Times New Roman" w:hAnsi="Times New Roman" w:cs="Times New Roman"/>
          <w:noProof/>
          <w:sz w:val="24"/>
          <w:szCs w:val="24"/>
        </w:rPr>
        <w:t xml:space="preserve">Guo et al., 2009; Belis et al., 2014; </w:t>
      </w:r>
      <w:r w:rsidRPr="00C8133D">
        <w:rPr>
          <w:rFonts w:ascii="Times New Roman" w:hAnsi="Times New Roman" w:cs="Times New Roman"/>
          <w:sz w:val="24"/>
          <w:szCs w:val="24"/>
        </w:rPr>
        <w:t>Banerjee et al., 2015)</w:t>
      </w:r>
      <w:r w:rsidRPr="00C8133D">
        <w:rPr>
          <w:rFonts w:ascii="Times New Roman" w:eastAsia="Times New Roman" w:hAnsi="Times New Roman" w:cs="Times New Roman"/>
          <w:sz w:val="24"/>
          <w:szCs w:val="24"/>
        </w:rPr>
        <w:t>. Each of the stated receptor modelling techniques has its own set of advantages and disadvantages with different input data needs and outputs, so the most ideal and suggested way to solve source apportionment problem for any air pollutant is to use all these techniques jointly on the same dataset and perform a cross check of modelling results to achieve more robust solutions (</w:t>
      </w:r>
      <w:r w:rsidRPr="00C8133D">
        <w:rPr>
          <w:rFonts w:ascii="Times New Roman" w:hAnsi="Times New Roman" w:cs="Times New Roman"/>
          <w:sz w:val="24"/>
          <w:szCs w:val="24"/>
          <w:shd w:val="clear" w:color="auto" w:fill="FFFFFF"/>
        </w:rPr>
        <w:t>Tauler et al., 2009; Yin et al., 2015</w:t>
      </w:r>
      <w:r w:rsidRPr="00C8133D">
        <w:rPr>
          <w:rFonts w:ascii="Times New Roman" w:eastAsia="Times New Roman" w:hAnsi="Times New Roman" w:cs="Times New Roman"/>
          <w:sz w:val="24"/>
          <w:szCs w:val="24"/>
        </w:rPr>
        <w:t xml:space="preserve">). The most </w:t>
      </w:r>
      <w:r w:rsidRPr="00C8133D">
        <w:rPr>
          <w:rFonts w:ascii="Times New Roman" w:eastAsia="Times New Roman" w:hAnsi="Times New Roman" w:cs="Times New Roman"/>
          <w:sz w:val="24"/>
          <w:szCs w:val="24"/>
        </w:rPr>
        <w:lastRenderedPageBreak/>
        <w:t>vital information that is required for devising air quality management strategies is the exact number of active pollution emission sources in an area, the identities of the pollution sources and their contributions to the total pollutant loading measured at the receptor site. Therefore, with the source receptor model results in hand; it is highly advisable to supplement and validate the model solutions with source tracers, source chemical fingerprints, other air quality and meteorological data variables and interrelated analysis (</w:t>
      </w:r>
      <w:r w:rsidRPr="00C8133D">
        <w:rPr>
          <w:rFonts w:ascii="Times New Roman" w:hAnsi="Times New Roman" w:cs="Times New Roman"/>
          <w:sz w:val="24"/>
          <w:szCs w:val="24"/>
        </w:rPr>
        <w:t>Charron et al., 2013</w:t>
      </w:r>
      <w:r w:rsidRPr="00C8133D">
        <w:rPr>
          <w:rFonts w:ascii="Times New Roman" w:eastAsia="Times New Roman" w:hAnsi="Times New Roman" w:cs="Times New Roman"/>
          <w:sz w:val="24"/>
          <w:szCs w:val="24"/>
        </w:rPr>
        <w:t>).</w:t>
      </w:r>
    </w:p>
    <w:p w14:paraId="4DC98C99" w14:textId="74892318" w:rsidR="00385971" w:rsidRPr="00C8133D" w:rsidRDefault="00385971" w:rsidP="00C8133D">
      <w:pPr>
        <w:spacing w:line="360" w:lineRule="auto"/>
        <w:jc w:val="both"/>
        <w:rPr>
          <w:rFonts w:ascii="Times New Roman" w:eastAsia="Times New Roman" w:hAnsi="Times New Roman" w:cs="Times New Roman"/>
          <w:sz w:val="24"/>
          <w:szCs w:val="24"/>
        </w:rPr>
      </w:pPr>
      <w:r w:rsidRPr="00C8133D">
        <w:rPr>
          <w:rFonts w:ascii="Times New Roman" w:eastAsia="Times New Roman" w:hAnsi="Times New Roman" w:cs="Times New Roman"/>
          <w:sz w:val="24"/>
          <w:szCs w:val="24"/>
        </w:rPr>
        <w:t>PMF model developed by Paaetro (</w:t>
      </w:r>
      <w:r w:rsidRPr="00C8133D">
        <w:rPr>
          <w:rFonts w:ascii="Times New Roman" w:hAnsi="Times New Roman" w:cs="Times New Roman"/>
          <w:sz w:val="24"/>
          <w:szCs w:val="24"/>
        </w:rPr>
        <w:t>Paatero and Tapper, 1993, 1994; Paatero, 1997; Paatero et al., 2002; Paatero et al., 2014</w:t>
      </w:r>
      <w:r w:rsidRPr="00C8133D">
        <w:rPr>
          <w:rFonts w:ascii="Times New Roman" w:eastAsia="Times New Roman" w:hAnsi="Times New Roman" w:cs="Times New Roman"/>
          <w:sz w:val="24"/>
          <w:szCs w:val="24"/>
        </w:rPr>
        <w:t>) and United States Environmental Protection Agency PMF v5.0 model release is growing in its application in source resolution studies worldwide because of no</w:t>
      </w:r>
      <w:r w:rsidR="00225B50">
        <w:rPr>
          <w:rFonts w:ascii="Times New Roman" w:eastAsia="Times New Roman" w:hAnsi="Times New Roman" w:cs="Times New Roman"/>
          <w:sz w:val="24"/>
          <w:szCs w:val="24"/>
        </w:rPr>
        <w:t xml:space="preserve"> prior </w:t>
      </w:r>
      <w:r w:rsidRPr="00C8133D">
        <w:rPr>
          <w:rFonts w:ascii="Times New Roman" w:eastAsia="Times New Roman" w:hAnsi="Times New Roman" w:cs="Times New Roman"/>
          <w:sz w:val="24"/>
          <w:szCs w:val="24"/>
        </w:rPr>
        <w:t xml:space="preserve">requirement of source profiles’ data, non-negativity constraints and uncertainty assessments. </w:t>
      </w:r>
      <w:r w:rsidR="00225B50">
        <w:rPr>
          <w:rFonts w:ascii="Times New Roman" w:eastAsia="Times New Roman" w:hAnsi="Times New Roman" w:cs="Times New Roman"/>
          <w:sz w:val="24"/>
          <w:szCs w:val="24"/>
        </w:rPr>
        <w:t xml:space="preserve">Application of </w:t>
      </w:r>
      <w:r w:rsidRPr="00C8133D">
        <w:rPr>
          <w:rFonts w:ascii="Times New Roman" w:eastAsia="Times New Roman" w:hAnsi="Times New Roman" w:cs="Times New Roman"/>
          <w:sz w:val="24"/>
          <w:szCs w:val="24"/>
        </w:rPr>
        <w:t>PMF</w:t>
      </w:r>
      <w:r w:rsidR="00225B50">
        <w:rPr>
          <w:rFonts w:ascii="Times New Roman" w:eastAsia="Times New Roman" w:hAnsi="Times New Roman" w:cs="Times New Roman"/>
          <w:sz w:val="24"/>
          <w:szCs w:val="24"/>
        </w:rPr>
        <w:t xml:space="preserve"> model</w:t>
      </w:r>
      <w:r w:rsidRPr="00C8133D">
        <w:rPr>
          <w:rFonts w:ascii="Times New Roman" w:eastAsia="Times New Roman" w:hAnsi="Times New Roman" w:cs="Times New Roman"/>
          <w:sz w:val="24"/>
          <w:szCs w:val="24"/>
        </w:rPr>
        <w:t xml:space="preserve"> </w:t>
      </w:r>
      <w:r w:rsidR="00225B50">
        <w:rPr>
          <w:rFonts w:ascii="Times New Roman" w:eastAsia="Times New Roman" w:hAnsi="Times New Roman" w:cs="Times New Roman"/>
          <w:sz w:val="24"/>
          <w:szCs w:val="24"/>
        </w:rPr>
        <w:t>is</w:t>
      </w:r>
      <w:r w:rsidRPr="00C8133D">
        <w:rPr>
          <w:rFonts w:ascii="Times New Roman" w:eastAsia="Times New Roman" w:hAnsi="Times New Roman" w:cs="Times New Roman"/>
          <w:sz w:val="24"/>
          <w:szCs w:val="24"/>
        </w:rPr>
        <w:t xml:space="preserve"> wide</w:t>
      </w:r>
      <w:r w:rsidR="00225B50">
        <w:rPr>
          <w:rFonts w:ascii="Times New Roman" w:eastAsia="Times New Roman" w:hAnsi="Times New Roman" w:cs="Times New Roman"/>
          <w:sz w:val="24"/>
          <w:szCs w:val="24"/>
        </w:rPr>
        <w:t>spread</w:t>
      </w:r>
      <w:r w:rsidRPr="00C8133D">
        <w:rPr>
          <w:rFonts w:ascii="Times New Roman" w:eastAsia="Times New Roman" w:hAnsi="Times New Roman" w:cs="Times New Roman"/>
          <w:sz w:val="24"/>
          <w:szCs w:val="24"/>
        </w:rPr>
        <w:t xml:space="preserve"> in source apportionment </w:t>
      </w:r>
      <w:r w:rsidR="00225B50">
        <w:rPr>
          <w:rFonts w:ascii="Times New Roman" w:eastAsia="Times New Roman" w:hAnsi="Times New Roman" w:cs="Times New Roman"/>
          <w:sz w:val="24"/>
          <w:szCs w:val="24"/>
        </w:rPr>
        <w:t>studies for</w:t>
      </w:r>
      <w:r w:rsidRPr="00C8133D">
        <w:rPr>
          <w:rFonts w:ascii="Times New Roman" w:eastAsia="Times New Roman" w:hAnsi="Times New Roman" w:cs="Times New Roman"/>
          <w:sz w:val="24"/>
          <w:szCs w:val="24"/>
        </w:rPr>
        <w:t xml:space="preserve"> particulate matter (</w:t>
      </w:r>
      <w:r w:rsidRPr="00C8133D">
        <w:rPr>
          <w:rFonts w:ascii="Times New Roman" w:hAnsi="Times New Roman" w:cs="Times New Roman"/>
          <w:sz w:val="24"/>
          <w:szCs w:val="24"/>
        </w:rPr>
        <w:t>Lestari and Mauliadi, 2009;</w:t>
      </w:r>
      <w:r w:rsidRPr="00C8133D">
        <w:rPr>
          <w:rFonts w:ascii="Times New Roman" w:eastAsia="Times New Roman" w:hAnsi="Times New Roman" w:cs="Times New Roman"/>
          <w:sz w:val="24"/>
          <w:szCs w:val="24"/>
        </w:rPr>
        <w:t xml:space="preserve"> Khan et al., 2012; </w:t>
      </w:r>
      <w:r w:rsidRPr="00C8133D">
        <w:rPr>
          <w:rFonts w:ascii="Times New Roman" w:hAnsi="Times New Roman" w:cs="Times New Roman"/>
          <w:sz w:val="24"/>
          <w:szCs w:val="24"/>
        </w:rPr>
        <w:t xml:space="preserve">Esmaeilirad et al., 2020; </w:t>
      </w:r>
      <w:r w:rsidRPr="00C8133D">
        <w:rPr>
          <w:rFonts w:ascii="Times New Roman" w:hAnsi="Times New Roman" w:cs="Times New Roman"/>
          <w:sz w:val="24"/>
          <w:szCs w:val="24"/>
          <w:shd w:val="clear" w:color="auto" w:fill="FFFFFF"/>
        </w:rPr>
        <w:t>Lucarelli et al., 2020</w:t>
      </w:r>
      <w:r w:rsidRPr="00C8133D">
        <w:rPr>
          <w:rFonts w:ascii="Times New Roman" w:eastAsia="Times New Roman" w:hAnsi="Times New Roman" w:cs="Times New Roman"/>
          <w:sz w:val="24"/>
          <w:szCs w:val="24"/>
        </w:rPr>
        <w:t xml:space="preserve">) and volatile organic compounds (Yuan et al., 2012; Su et al., 2019; </w:t>
      </w:r>
      <w:r w:rsidRPr="00C8133D">
        <w:rPr>
          <w:rFonts w:ascii="Times New Roman" w:hAnsi="Times New Roman" w:cs="Times New Roman"/>
          <w:sz w:val="24"/>
          <w:szCs w:val="24"/>
          <w:shd w:val="clear" w:color="auto" w:fill="FFFFFF"/>
        </w:rPr>
        <w:t>Vestenius et al., 2021</w:t>
      </w:r>
      <w:r w:rsidRPr="00C8133D">
        <w:rPr>
          <w:rFonts w:ascii="Times New Roman" w:eastAsia="Times New Roman" w:hAnsi="Times New Roman" w:cs="Times New Roman"/>
          <w:sz w:val="24"/>
          <w:szCs w:val="24"/>
        </w:rPr>
        <w:t>).</w:t>
      </w:r>
    </w:p>
    <w:p w14:paraId="4823B734"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In the present thesis work, source receptor modelling for ambient VOC and PM concentrations via PMF simulations sets forth a newer concept for the local and regional study of pollution sources in and around Mohali and till date, no such study has been reported for this city. Even for India on the whole, there exist countably many studies reporting source apportionment analysis for volatile organic compounds which are mainly restricted to metropolitan cities (Srivastava, 2004; Srivastava et al., 2005; Majumdar et al., 2009) whereas relatively more number of such studies are documented for other parts of the world </w:t>
      </w:r>
      <w:r w:rsidRPr="00C8133D">
        <w:rPr>
          <w:rFonts w:ascii="Times New Roman" w:hAnsi="Times New Roman" w:cs="Times New Roman"/>
          <w:sz w:val="24"/>
          <w:szCs w:val="24"/>
        </w:rPr>
        <w:fldChar w:fldCharType="begin" w:fldLock="1"/>
      </w:r>
      <w:r w:rsidRPr="00C8133D">
        <w:rPr>
          <w:rFonts w:ascii="Times New Roman" w:hAnsi="Times New Roman" w:cs="Times New Roman"/>
          <w:sz w:val="24"/>
          <w:szCs w:val="24"/>
        </w:rPr>
        <w:instrText>ADDIN CSL_CITATION { "citationItems" : [ { "id" : "ITEM-1", "itemData" : { "ISSN" : "1352-2310", "author" : [ { "dropping-particle" : "", "family" : "Brown", "given" : "Steven G", "non-dropping-particle" : "", "parse-names" : false, "suffix" : "" }, { "dropping-particle" : "", "family" : "Frankel", "given" : "Anna", "non-dropping-particle" : "", "parse-names" : false, "suffix" : "" }, { "dropping-particle" : "", "family" : "Hafner", "given" : "Hilary R", "non-dropping-particle" : "", "parse-names" : false, "suffix" : "" } ], "container-title" : "Atmospheric Environment", "id" : "ITEM-1", "issue" : "2", "issued" : { "date-parts" : [ [ "2007" ] ] }, "page" : "227-237", "publisher" : "Elsevier", "title" : "Source apportionment of VOCs in the Los Angeles area using positive matrix factorization", "type" : "article-journal", "volume" : "41" }, "uris" : [ "http://www.mendeley.com/documents/?uuid=4dc4b5de-c487-4c85-8399-78f31d9b4d03" ] } ], "mendeley" : { "formattedCitation" : "(Brown et al., 2007)", "manualFormatting" : "(Brown et al., 2007", "plainTextFormattedCitation" : "(Brown et al., 2007)", "previouslyFormattedCitation" : "(Brown et al., 2007)" }, "properties" : { "noteIndex" : 0 }, "schema" : "https://github.com/citation-style-language/schema/raw/master/csl-citation.json" }</w:instrText>
      </w:r>
      <w:r w:rsidRPr="00C8133D">
        <w:rPr>
          <w:rFonts w:ascii="Times New Roman" w:hAnsi="Times New Roman" w:cs="Times New Roman"/>
          <w:sz w:val="24"/>
          <w:szCs w:val="24"/>
        </w:rPr>
        <w:fldChar w:fldCharType="separate"/>
      </w:r>
      <w:r w:rsidRPr="00C8133D">
        <w:rPr>
          <w:rFonts w:ascii="Times New Roman" w:hAnsi="Times New Roman" w:cs="Times New Roman"/>
          <w:noProof/>
          <w:sz w:val="24"/>
          <w:szCs w:val="24"/>
        </w:rPr>
        <w:t>(Brown et al., 2007</w:t>
      </w:r>
      <w:r w:rsidRPr="00C8133D">
        <w:rPr>
          <w:rFonts w:ascii="Times New Roman" w:hAnsi="Times New Roman" w:cs="Times New Roman"/>
          <w:sz w:val="24"/>
          <w:szCs w:val="24"/>
        </w:rPr>
        <w:fldChar w:fldCharType="end"/>
      </w:r>
      <w:r w:rsidRPr="00C8133D">
        <w:rPr>
          <w:rFonts w:ascii="Times New Roman" w:hAnsi="Times New Roman" w:cs="Times New Roman"/>
          <w:sz w:val="24"/>
          <w:szCs w:val="24"/>
        </w:rPr>
        <w:t xml:space="preserve">; </w:t>
      </w:r>
      <w:r w:rsidRPr="00C8133D">
        <w:rPr>
          <w:rFonts w:ascii="Times New Roman" w:hAnsi="Times New Roman" w:cs="Times New Roman"/>
          <w:sz w:val="24"/>
          <w:szCs w:val="24"/>
        </w:rPr>
        <w:fldChar w:fldCharType="begin" w:fldLock="1"/>
      </w:r>
      <w:r w:rsidRPr="00C8133D">
        <w:rPr>
          <w:rFonts w:ascii="Times New Roman" w:hAnsi="Times New Roman" w:cs="Times New Roman"/>
          <w:sz w:val="24"/>
          <w:szCs w:val="24"/>
        </w:rPr>
        <w:instrText>ADDIN CSL_CITATION { "citationItems" : [ { "id" : "ITEM-1", "itemData" : { "DOI" : "10.1016/j.atmosenv.2009.02.029", "ISBN" : "1352-2310", "ISSN" : "13522310", "abstract" : "During the TRAMP field campaign in August-September 2006, C2-C10 volatile organic compounds (VOCs) were measured continuously and online at the urban Moody Tower (MT) site. This dataset was compared to corresponding VOC data sets obtained at six sites located in the highly industrialized Houston Ship Channel area (HSC). Receptor modeling was performed by positive matrix factorization (PMF) at all sites. Conditional probability functions (CPF) were used to determine the origin of the polluted air masses in the Houston area. A subdivision into daytime and nighttime was carried out to discriminate photochemical influences. Eight main source categories of industrial, mobile, and biogenic emissions were identified at the urban receptor site, seven and six, respectively, at the different HSC sites. At MT natural gas/crude oil contributed most to the VOC mass (27.4%), followed by liquefied petroleum gas (16.7%), vehicular exhaust (15.3%), fuel evaporation (14.3%), and aromatics (13.4%). Also petrochemical sources from ethylene (4.7%) and propylene (3.6%) play an important role. A minor fraction of the VOC mass can be attributed to biogenic sources mainly from isoprene (4.4%). Based on PMF analyses of different wind sectors, the total VOC mass was estimated to be twofold at MT with wind directions from HSC compared to air from a typical urban sector, for petrochemical compounds more than threefold. Despite the strong impact of air masses influenced by industrial sources at HSC, still about a third of the total mass contributions at MT can be apportioned to other sources, mainly motor vehicles and aromatic solvents. The investigation of diurnal variation in combination with wind directional frequencies revealed the greatest HSC impact at the urban site during the morning, and the least during the evening. \u00a9 2009 Elsevier Ltd.", "author" : [ { "dropping-particle" : "", "family" : "Leuchner", "given" : "Michael", "non-dropping-particle" : "", "parse-names" : false, "suffix" : "" }, { "dropping-particle" : "", "family" : "Rappengl\u00fcck", "given" : "Bernhard", "non-dropping-particle" : "", "parse-names" : false, "suffix" : "" } ], "container-title" : "Atmospheric Environment", "id" : "ITEM-1", "issue" : "33", "issued" : { "date-parts" : [ [ "2010" ] ] }, "page" : "4056-4067", "title" : "VOC source-receptor relationships in Houston during TexAQS-II", "type" : "article-journal", "volume" : "44" }, "uris" : [ "http://www.mendeley.com/documents/?uuid=77ba2f2e-e774-497b-9fa6-aa0319cc3950" ] } ], "mendeley" : { "formattedCitation" : "(Leuchner &amp; Rappengl\u00fcck, 2010)", "manualFormatting" : "Leuchner &amp; Rappengl\u00fcck, 2010", "plainTextFormattedCitation" : "(Leuchner &amp; Rappengl\u00fcck, 2010)", "previouslyFormattedCitation" : "(Leuchner &amp; Rappengl\u00fcck, 2010)" }, "properties" : { "noteIndex" : 0 }, "schema" : "https://github.com/citation-style-language/schema/raw/master/csl-citation.json" }</w:instrText>
      </w:r>
      <w:r w:rsidRPr="00C8133D">
        <w:rPr>
          <w:rFonts w:ascii="Times New Roman" w:hAnsi="Times New Roman" w:cs="Times New Roman"/>
          <w:sz w:val="24"/>
          <w:szCs w:val="24"/>
        </w:rPr>
        <w:fldChar w:fldCharType="separate"/>
      </w:r>
      <w:r w:rsidRPr="00C8133D">
        <w:rPr>
          <w:rFonts w:ascii="Times New Roman" w:hAnsi="Times New Roman" w:cs="Times New Roman"/>
          <w:noProof/>
          <w:sz w:val="24"/>
          <w:szCs w:val="24"/>
        </w:rPr>
        <w:t>Leuchner &amp; Rappenglück, 2010</w:t>
      </w:r>
      <w:r w:rsidRPr="00C8133D">
        <w:rPr>
          <w:rFonts w:ascii="Times New Roman" w:hAnsi="Times New Roman" w:cs="Times New Roman"/>
          <w:sz w:val="24"/>
          <w:szCs w:val="24"/>
        </w:rPr>
        <w:fldChar w:fldCharType="end"/>
      </w:r>
      <w:r w:rsidRPr="00C8133D">
        <w:rPr>
          <w:rFonts w:ascii="Times New Roman" w:hAnsi="Times New Roman" w:cs="Times New Roman"/>
          <w:sz w:val="24"/>
          <w:szCs w:val="24"/>
        </w:rPr>
        <w:t xml:space="preserve">; </w:t>
      </w:r>
      <w:r w:rsidRPr="00C8133D">
        <w:rPr>
          <w:rFonts w:ascii="Times New Roman" w:hAnsi="Times New Roman" w:cs="Times New Roman"/>
          <w:sz w:val="24"/>
          <w:szCs w:val="24"/>
        </w:rPr>
        <w:fldChar w:fldCharType="begin" w:fldLock="1"/>
      </w:r>
      <w:r w:rsidRPr="00C8133D">
        <w:rPr>
          <w:rFonts w:ascii="Times New Roman" w:hAnsi="Times New Roman" w:cs="Times New Roman"/>
          <w:sz w:val="24"/>
          <w:szCs w:val="24"/>
        </w:rPr>
        <w:instrText>ADDIN CSL_CITATION { "citationItems" : [ { "id" : "ITEM-1", "itemData" : { "DOI" : "10.1029/2012JD018236", "ISSN" : "21698996", "abstract" : "Volatile organic compounds (VOCs) were measured online at an urban site in Beijing in August\u2013September 2010. Diurnal variations of various VOC species indicate that VOCs concentrations were influenced by photochemical removal with OH radicals for reactive species and secondary formation for oxygenated VOCs (OVOCs). A photochemical age-based parameterization method was applied to characterize VOCs chemistry. A large part of the variability in concentrations of both hydrocarbons and OVOCs was explained by this method. The determined emission ratios of hydrocarbons to acetylene agreed within a factor of two between 2005 and 2010 measurements. However, large differences were found for emission ratios of some alkanes and C8 aromatics between Beijing and northeastern United States secondary formation from anthropogenic VOCs generally contributed higher percentages to concentrations of reactive aldehydes than those of inert ketones and alcohols. Anthropogenic primary emissions accounted for the majority of ketones and alcohols concentrations. Positive matrix factorization (PMF) was also used to identify emission sources from this VOCs data set. The four resolved factors were three anthropogenic factors and a biogenic factor. However, the anthropogenic factors are attributed here to a common source at different stages of photochemical processing rather than three independent sources. Anthropogenic and biogenic sources of VOCs concentrations were not separated completely in PMF. This study indicates that photochemistry of VOCs in the atmosphere complicates the information about separated sources that can be extracted from PMF and the influence of photochemical processing must be carefully considered in the interpretation of source apportionment studies based upon PMF.", "author" : [ { "dropping-particle" : "", "family" : "Yuan", "given" : "Bin", "non-dropping-particle" : "", "parse-names" : false, "suffix" : "" }, { "dropping-particle" : "", "family" : "Shao", "given" : "Min", "non-dropping-particle" : "", "parse-names" : false, "suffix" : "" }, { "dropping-particle" : "", "family" : "Gouw", "given" : "Joost", "non-dropping-particle" : "De", "parse-names" : false, "suffix" : "" }, { "dropping-particle" : "", "family" : "Parrish", "given" : "David D.", "non-dropping-particle" : "", "parse-names" : false, "suffix" : "" }, { "dropping-particle" : "", "family" : "Lu", "given" : "Sihua", "non-dropping-particle" : "", "parse-names" : false, "suffix" : "" }, { "dropping-particle" : "", "family" : "Wang", "given" : "Ming", "non-dropping-particle" : "", "parse-names" : false, "suffix" : "" }, { "dropping-particle" : "", "family" : "Zeng", "given" : "Limin", "non-dropping-particle" : "", "parse-names" : false, "suffix" : "" }, { "dropping-particle" : "", "family" : "Zhang", "given" : "Qian", "non-dropping-particle" : "", "parse-names" : false, "suffix" : "" }, { "dropping-particle" : "", "family" : "Song", "given" : "Yu", "non-dropping-particle" : "", "parse-names" : false, "suffix" : "" }, { "dropping-particle" : "", "family" : "Zhang", "given" : "Jianbo", "non-dropping-particle" : "", "parse-names" : false, "suffix" : "" }, { "dropping-particle" : "", "family" : "Hu", "given" : "Min", "non-dropping-particle" : "", "parse-names" : false, "suffix" : "" } ], "container-title" : "Journal of Geophysical Research: Atmospheres", "id" : "ITEM-1", "issue" : "24", "issued" : { "date-parts" : [ [ "2012" ] ] }, "page" : "1-17", "title" : "Volatile organic compounds (VOCs) in urban air: How chemistry affects the interpretation of positive matrix factorization (PMF) analysis", "type" : "article-journal", "volume" : "117" }, "uris" : [ "http://www.mendeley.com/documents/?uuid=b38544c4-504c-4ee3-a635-68b7732f4c22" ] }, { "id" : "ITEM-2", "itemData" : { "abstract" : "\n", "author" : [ { "dropping-particle" : "", "family" : "Gaimoz", "given" : "C\u00e9cile", "non-dropping-particle" : "", "parse-names" : false, "suffix" : "" }, { "dropping-particle" : "", "family" : "Sauvage", "given" : "St\u00e9phane", "non-dropping-particle" : "", "parse-names" : false, "suffix" : "" }, { "dropping-particle" : "", "family" : "Gros", "given" : "Val\u00e9rie", "non-dropping-particle" : "", "parse-names" : false, "suffix" : "" }, { "dropping-particle" : "", "family" : "Herrmann", "given" : "Frank", "non-dropping-particle" : "", "parse-names" : false, "suffix" : "" }, { "dropping-particle" : "", "family" : "Williams", "given" : "Jonathan", "non-dropping-particle" : "", "parse-names" : false, "suffix" : "" }, { "dropping-particle" : "", "family" : "Locoge", "given" : "Nadine", "non-dropping-particle" : "", "parse-names" : false, "suffix" : "" }, { "dropping-particle" : "", "family" : "Perrussel", "given" : "Olivier", "non-dropping-particle" : "", "parse-names" : false, "suffix" : "" }, { "dropping-particle" : "", "family" : "Bonsang", "given" : "Bernard", "non-dropping-particle" : "", "parse-names" : false, "suffix" : "" }, { "dropping-particle" : "", "family" : "d\u2019Argouges", "given" : "Odile", "non-dropping-particle" : "", "parse-names" : false, "suffix" : "" }, { "dropping-particle" : "", "family" : "Sarda-Est\u00e8ve", "given" : "Roland", "non-dropping-particle" : "", "parse-names" : false, "suffix" : "" }, { "dropping-particle" : "", "family" : "Sciare", "given" : "Jean", "non-dropping-particle" : "", "parse-names" : false, "suffix" : "" } ], "container-title" : "Environmental Chemistry", "id" : "ITEM-2", "issue" : "1", "issued" : { "date-parts" : [ [ "2011" ] ] }, "page" : "91-103", "title" : "Volatile organic compounds sources in Paris in spring 2007. Part II: source apportionment using positive matrix factorisation", "type" : "article", "volume" : "8 " }, "uris" : [ "http://www.mendeley.com/documents/?uuid=cc05ce1d-8dc4-4675-b470-393c1e46b794" ] } ], "mendeley" : { "formattedCitation" : "(Gaimoz et al., 2011; Yuan et al., 2012)", "manualFormatting" : "Gaimoz et al., 2011; Yuan et al., 2012)", "plainTextFormattedCitation" : "(Gaimoz et al., 2011; Yuan et al., 2012)", "previouslyFormattedCitation" : "(Gaimoz et al., 2011; Yuan et al., 2012)" }, "properties" : { "noteIndex" : 0 }, "schema" : "https://github.com/citation-style-language/schema/raw/master/csl-citation.json" }</w:instrText>
      </w:r>
      <w:r w:rsidRPr="00C8133D">
        <w:rPr>
          <w:rFonts w:ascii="Times New Roman" w:hAnsi="Times New Roman" w:cs="Times New Roman"/>
          <w:sz w:val="24"/>
          <w:szCs w:val="24"/>
        </w:rPr>
        <w:fldChar w:fldCharType="separate"/>
      </w:r>
      <w:r w:rsidRPr="00C8133D">
        <w:rPr>
          <w:rFonts w:ascii="Times New Roman" w:hAnsi="Times New Roman" w:cs="Times New Roman"/>
          <w:noProof/>
          <w:sz w:val="24"/>
          <w:szCs w:val="24"/>
        </w:rPr>
        <w:t>Gaimoz et al., 2011; Yuan et al., 2012)</w:t>
      </w:r>
      <w:r w:rsidRPr="00C8133D">
        <w:rPr>
          <w:rFonts w:ascii="Times New Roman" w:hAnsi="Times New Roman" w:cs="Times New Roman"/>
          <w:sz w:val="24"/>
          <w:szCs w:val="24"/>
        </w:rPr>
        <w:fldChar w:fldCharType="end"/>
      </w:r>
      <w:r w:rsidRPr="00C8133D">
        <w:rPr>
          <w:rFonts w:ascii="Times New Roman" w:hAnsi="Times New Roman" w:cs="Times New Roman"/>
          <w:sz w:val="24"/>
          <w:szCs w:val="24"/>
        </w:rPr>
        <w:t>. VOC source apportionment studies carried out at Delhi, Mumbai and Kolkata using receptor models pointed towards diesel engine exhaust, evaporative emissions and vehicular exhaust respectively as the major VOC polluting sources (Srivastava et al., 2005; Srivastava, 2004; Srivastava et al., 2006; Majumdar et al., 2009). PM source apportionment studies in India also require a push and further expansion. The current status of source attribution of PM using receptor modelling reveals its confinement to the Indo-Gangetic Plains with major focus on Delhi and some nearby cities (Rai et al., 2016; Sharma et al., 2016; Guo et al., 2017; Yadav et al., 2022). The major sources of PM in major Indian cities extracted using various statistical procedures and numerical techniques is shown in Fig. 1.3.</w:t>
      </w:r>
    </w:p>
    <w:p w14:paraId="1D3815C4"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noProof/>
          <w:sz w:val="24"/>
          <w:szCs w:val="24"/>
          <w:lang w:eastAsia="en-IN"/>
        </w:rPr>
        <w:lastRenderedPageBreak/>
        <w:drawing>
          <wp:anchor distT="0" distB="0" distL="114300" distR="114300" simplePos="0" relativeHeight="251659264" behindDoc="0" locked="0" layoutInCell="1" allowOverlap="1" wp14:anchorId="69CD8807" wp14:editId="0CE871D4">
            <wp:simplePos x="0" y="0"/>
            <wp:positionH relativeFrom="margin">
              <wp:posOffset>0</wp:posOffset>
            </wp:positionH>
            <wp:positionV relativeFrom="paragraph">
              <wp:posOffset>361315</wp:posOffset>
            </wp:positionV>
            <wp:extent cx="5731510" cy="3500120"/>
            <wp:effectExtent l="0" t="0" r="2540" b="5080"/>
            <wp:wrapSquare wrapText="bothSides"/>
            <wp:docPr id="1153988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988144" name=""/>
                    <pic:cNvPicPr/>
                  </pic:nvPicPr>
                  <pic:blipFill>
                    <a:blip r:embed="rId11">
                      <a:extLst>
                        <a:ext uri="{28A0092B-C50C-407E-A947-70E740481C1C}">
                          <a14:useLocalDpi xmlns:a14="http://schemas.microsoft.com/office/drawing/2010/main" val="0"/>
                        </a:ext>
                      </a:extLst>
                    </a:blip>
                    <a:stretch>
                      <a:fillRect/>
                    </a:stretch>
                  </pic:blipFill>
                  <pic:spPr>
                    <a:xfrm>
                      <a:off x="0" y="0"/>
                      <a:ext cx="5731510" cy="3500120"/>
                    </a:xfrm>
                    <a:prstGeom prst="rect">
                      <a:avLst/>
                    </a:prstGeom>
                  </pic:spPr>
                </pic:pic>
              </a:graphicData>
            </a:graphic>
          </wp:anchor>
        </w:drawing>
      </w:r>
    </w:p>
    <w:p w14:paraId="0BA7CBCF" w14:textId="77777777" w:rsidR="00385971" w:rsidRPr="00C8133D" w:rsidRDefault="00385971" w:rsidP="00C8133D">
      <w:pPr>
        <w:spacing w:line="360" w:lineRule="auto"/>
        <w:jc w:val="both"/>
        <w:rPr>
          <w:rFonts w:ascii="Times New Roman" w:hAnsi="Times New Roman" w:cs="Times New Roman"/>
          <w:sz w:val="24"/>
          <w:szCs w:val="24"/>
        </w:rPr>
      </w:pPr>
    </w:p>
    <w:p w14:paraId="3F42823D" w14:textId="2A1AF7BD" w:rsidR="00385971" w:rsidRPr="00C8133D" w:rsidRDefault="0043609E" w:rsidP="00C8133D">
      <w:pPr>
        <w:pStyle w:val="Caption"/>
        <w:spacing w:line="360" w:lineRule="auto"/>
        <w:jc w:val="both"/>
        <w:rPr>
          <w:rFonts w:ascii="Times New Roman" w:eastAsia="Times New Roman" w:hAnsi="Times New Roman" w:cs="Times New Roman"/>
          <w:color w:val="auto"/>
          <w:sz w:val="24"/>
          <w:szCs w:val="24"/>
        </w:rPr>
      </w:pPr>
      <w:bookmarkStart w:id="8" w:name="_Toc133575311"/>
      <w:bookmarkStart w:id="9" w:name="_Toc133576757"/>
      <w:r w:rsidRPr="00C8133D">
        <w:rPr>
          <w:rFonts w:ascii="Times New Roman" w:hAnsi="Times New Roman" w:cs="Times New Roman"/>
          <w:color w:val="auto"/>
          <w:sz w:val="24"/>
          <w:szCs w:val="24"/>
        </w:rPr>
        <w:t xml:space="preserve">Figure 1. </w:t>
      </w:r>
      <w:r w:rsidR="00BE53B5">
        <w:rPr>
          <w:rFonts w:ascii="Times New Roman" w:hAnsi="Times New Roman" w:cs="Times New Roman"/>
          <w:color w:val="auto"/>
          <w:sz w:val="24"/>
          <w:szCs w:val="24"/>
        </w:rPr>
        <w:t>2</w:t>
      </w:r>
      <w:r w:rsidR="00385971" w:rsidRPr="00C8133D">
        <w:rPr>
          <w:rFonts w:ascii="Times New Roman" w:hAnsi="Times New Roman" w:cs="Times New Roman"/>
          <w:color w:val="auto"/>
          <w:sz w:val="24"/>
          <w:szCs w:val="24"/>
        </w:rPr>
        <w:t xml:space="preserve"> PM source contributions in major cities of India using statistical modelling and numerical modelling procedures (Garaga et al., 2018).</w:t>
      </w:r>
      <w:bookmarkEnd w:id="8"/>
      <w:bookmarkEnd w:id="9"/>
      <w:r w:rsidR="00975B05" w:rsidRPr="00975B05">
        <w:rPr>
          <w:rFonts w:ascii="Arial" w:hAnsi="Arial" w:cs="Arial"/>
          <w:color w:val="313131"/>
        </w:rPr>
        <w:t xml:space="preserve"> </w:t>
      </w:r>
      <w:r w:rsidR="00975B05" w:rsidRPr="00975B05">
        <w:rPr>
          <w:rFonts w:ascii="Times New Roman" w:hAnsi="Times New Roman" w:cs="Times New Roman"/>
          <w:color w:val="auto"/>
          <w:sz w:val="24"/>
          <w:szCs w:val="24"/>
        </w:rPr>
        <w:t>Reproduced with permission from Springer Nature</w:t>
      </w:r>
    </w:p>
    <w:p w14:paraId="758B4748"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The present PMF receptor modelling study utilised the ambient VOC and PM concentration data for the month of May 2012 to extract the source information. In May 2012, the region witnessed the temperature between 25-42°C and various events like wheat-residue burning episodes, dust storms largely characterized the ambient chemical composition of air in this area. Proton transfer reaction quadrupole mass spectrometer (PTR-MS) and </w:t>
      </w:r>
      <w:r w:rsidRPr="00C8133D">
        <w:rPr>
          <w:rFonts w:ascii="Times New Roman" w:eastAsia="Times New Roman" w:hAnsi="Times New Roman" w:cs="Times New Roman"/>
          <w:sz w:val="24"/>
          <w:szCs w:val="24"/>
          <w:lang w:val="en-US"/>
        </w:rPr>
        <w:t>PM</w:t>
      </w:r>
      <w:r w:rsidRPr="00C8133D">
        <w:rPr>
          <w:rFonts w:ascii="Times New Roman" w:eastAsia="Times New Roman" w:hAnsi="Times New Roman" w:cs="Times New Roman"/>
          <w:sz w:val="24"/>
          <w:szCs w:val="24"/>
          <w:vertAlign w:val="subscript"/>
          <w:lang w:val="en-US"/>
        </w:rPr>
        <w:t>10</w:t>
      </w:r>
      <w:r w:rsidRPr="00C8133D">
        <w:rPr>
          <w:rFonts w:ascii="Times New Roman" w:eastAsia="Times New Roman" w:hAnsi="Times New Roman" w:cs="Times New Roman"/>
          <w:sz w:val="24"/>
          <w:szCs w:val="24"/>
          <w:lang w:val="en-US"/>
        </w:rPr>
        <w:t xml:space="preserve"> and PM</w:t>
      </w:r>
      <w:r w:rsidRPr="00C8133D">
        <w:rPr>
          <w:rFonts w:ascii="Times New Roman" w:eastAsia="Times New Roman" w:hAnsi="Times New Roman" w:cs="Times New Roman"/>
          <w:sz w:val="24"/>
          <w:szCs w:val="24"/>
          <w:vertAlign w:val="subscript"/>
          <w:lang w:val="en-US"/>
        </w:rPr>
        <w:t xml:space="preserve">2.5 </w:t>
      </w:r>
      <w:r w:rsidRPr="00C8133D">
        <w:rPr>
          <w:rFonts w:ascii="Times New Roman" w:eastAsia="Times New Roman" w:hAnsi="Times New Roman" w:cs="Times New Roman"/>
          <w:sz w:val="24"/>
          <w:szCs w:val="24"/>
          <w:lang w:val="en-US"/>
        </w:rPr>
        <w:t xml:space="preserve">analyzers </w:t>
      </w:r>
      <w:r w:rsidRPr="00C8133D">
        <w:rPr>
          <w:rFonts w:ascii="Times New Roman" w:hAnsi="Times New Roman" w:cs="Times New Roman"/>
          <w:sz w:val="24"/>
          <w:szCs w:val="24"/>
        </w:rPr>
        <w:t xml:space="preserve">deployed at IISER-Mohali Atmospheric Chemistry Facility were used to gather the VOC concentration data matrix for different species and </w:t>
      </w:r>
      <w:r w:rsidRPr="00C8133D">
        <w:rPr>
          <w:rFonts w:ascii="Times New Roman" w:eastAsia="Times New Roman" w:hAnsi="Times New Roman" w:cs="Times New Roman"/>
          <w:sz w:val="24"/>
          <w:szCs w:val="24"/>
          <w:lang w:val="en-US"/>
        </w:rPr>
        <w:t>PM</w:t>
      </w:r>
      <w:r w:rsidRPr="00C8133D">
        <w:rPr>
          <w:rFonts w:ascii="Times New Roman" w:eastAsia="Times New Roman" w:hAnsi="Times New Roman" w:cs="Times New Roman"/>
          <w:sz w:val="24"/>
          <w:szCs w:val="24"/>
          <w:vertAlign w:val="subscript"/>
          <w:lang w:val="en-US"/>
        </w:rPr>
        <w:t>10</w:t>
      </w:r>
      <w:r w:rsidRPr="00C8133D">
        <w:rPr>
          <w:rFonts w:ascii="Times New Roman" w:eastAsia="Times New Roman" w:hAnsi="Times New Roman" w:cs="Times New Roman"/>
          <w:sz w:val="24"/>
          <w:szCs w:val="24"/>
          <w:lang w:val="en-US"/>
        </w:rPr>
        <w:t xml:space="preserve"> and PM</w:t>
      </w:r>
      <w:r w:rsidRPr="00C8133D">
        <w:rPr>
          <w:rFonts w:ascii="Times New Roman" w:eastAsia="Times New Roman" w:hAnsi="Times New Roman" w:cs="Times New Roman"/>
          <w:sz w:val="24"/>
          <w:szCs w:val="24"/>
          <w:vertAlign w:val="subscript"/>
          <w:lang w:val="en-US"/>
        </w:rPr>
        <w:t xml:space="preserve">2.5 </w:t>
      </w:r>
      <w:r w:rsidRPr="00C8133D">
        <w:rPr>
          <w:rFonts w:ascii="Times New Roman" w:eastAsia="Times New Roman" w:hAnsi="Times New Roman" w:cs="Times New Roman"/>
          <w:sz w:val="24"/>
          <w:szCs w:val="24"/>
          <w:lang w:val="en-US"/>
        </w:rPr>
        <w:t xml:space="preserve">data </w:t>
      </w:r>
      <w:r w:rsidRPr="00C8133D">
        <w:rPr>
          <w:rFonts w:ascii="Times New Roman" w:hAnsi="Times New Roman" w:cs="Times New Roman"/>
          <w:sz w:val="24"/>
          <w:szCs w:val="24"/>
        </w:rPr>
        <w:t>in the summer of 2012. The availability of this dataset and the experimental uncertainty matrix allowed to evaluate major VOC and PM source emission categories at this site via source receptor modelling with US EPA PMF v5.0 model.</w:t>
      </w:r>
    </w:p>
    <w:p w14:paraId="7B3A8F49" w14:textId="18B175BA" w:rsidR="00385971" w:rsidRPr="00C8133D" w:rsidRDefault="00385971" w:rsidP="00C8133D">
      <w:pPr>
        <w:keepNext/>
        <w:keepLines/>
        <w:spacing w:before="40" w:after="0" w:line="360" w:lineRule="auto"/>
        <w:jc w:val="both"/>
        <w:outlineLvl w:val="1"/>
        <w:rPr>
          <w:rFonts w:ascii="Times New Roman" w:eastAsiaTheme="majorEastAsia" w:hAnsi="Times New Roman" w:cs="Times New Roman"/>
          <w:b/>
          <w:bCs/>
          <w:sz w:val="24"/>
          <w:szCs w:val="24"/>
        </w:rPr>
      </w:pPr>
      <w:bookmarkStart w:id="10" w:name="_Toc146809831"/>
      <w:r w:rsidRPr="00C8133D">
        <w:rPr>
          <w:rFonts w:ascii="Times New Roman" w:eastAsiaTheme="majorEastAsia" w:hAnsi="Times New Roman" w:cs="Times New Roman"/>
          <w:b/>
          <w:bCs/>
          <w:sz w:val="24"/>
          <w:szCs w:val="24"/>
        </w:rPr>
        <w:t>1.5</w:t>
      </w:r>
      <w:r w:rsidRPr="00C8133D">
        <w:rPr>
          <w:rFonts w:ascii="Times New Roman" w:eastAsiaTheme="majorEastAsia" w:hAnsi="Times New Roman" w:cs="Times New Roman"/>
          <w:b/>
          <w:bCs/>
          <w:sz w:val="24"/>
          <w:szCs w:val="24"/>
        </w:rPr>
        <w:tab/>
        <w:t>Receptor modelling and Emission inventories</w:t>
      </w:r>
      <w:bookmarkEnd w:id="10"/>
    </w:p>
    <w:p w14:paraId="1097E6B9"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There are different methods available to ascertain the source information and to estimate their contributions to air pollution levels in a particular area. Two main approaches </w:t>
      </w:r>
      <w:r w:rsidRPr="00C8133D">
        <w:rPr>
          <w:rFonts w:ascii="Times New Roman" w:hAnsi="Times New Roman" w:cs="Times New Roman"/>
          <w:sz w:val="24"/>
          <w:szCs w:val="24"/>
        </w:rPr>
        <w:lastRenderedPageBreak/>
        <w:t>utilised to derive this information about pollution sources are source receptor modelling and source emission inventory (Harrison et al., 1997; Cass and McRae, 1983, Morino et al., 2011; Belis et al., 2014; Ou et al., 2018).</w:t>
      </w:r>
    </w:p>
    <w:p w14:paraId="2E7AFCC8"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Source receptor modelling has been discussed at length in the preceding section, so this section will highlight the main characteristics of receptor modelling to present a comparative overview between the two mentioned source identification methods. Receptor model, a multivariate factor analysis tool, based on chemical mass balance analysis; uses the real-time measurements of air pollutants at the receptor site and experimental uncertainties to identify and quantify the sources responsible for air pollution at the receptor site (Watson, 1984; Gordon, 1988; Hopke, 2003; </w:t>
      </w:r>
      <w:r w:rsidRPr="00C8133D">
        <w:rPr>
          <w:rFonts w:ascii="Times New Roman" w:hAnsi="Times New Roman" w:cs="Times New Roman"/>
          <w:noProof/>
          <w:sz w:val="24"/>
          <w:szCs w:val="24"/>
        </w:rPr>
        <w:t>Daly and Zannetti, 2007)</w:t>
      </w:r>
      <w:r w:rsidRPr="00C8133D">
        <w:rPr>
          <w:rFonts w:ascii="Times New Roman" w:hAnsi="Times New Roman" w:cs="Times New Roman"/>
          <w:sz w:val="24"/>
          <w:szCs w:val="24"/>
        </w:rPr>
        <w:t>. Receptor models do not require chemical transformation mechanisms or meteorological data to predict the source contributions. Emission inventory involves compiling the list of pollutants together along with their emission estimates from all the sources over a well-defined geographical area and in a certain time period (Beig et al., 2017; Bang and Khue, 2018). Emissions of a pollutant (p) is determined using the following equation (Olaguer, 2016).</w:t>
      </w:r>
    </w:p>
    <w:p w14:paraId="3F4059A0" w14:textId="77777777" w:rsidR="00385971" w:rsidRPr="00C8133D" w:rsidRDefault="00385971" w:rsidP="00C8133D">
      <w:pPr>
        <w:spacing w:line="360" w:lineRule="auto"/>
        <w:jc w:val="center"/>
        <w:rPr>
          <w:rFonts w:ascii="Times New Roman" w:hAnsi="Times New Roman" w:cs="Times New Roman"/>
          <w:sz w:val="24"/>
          <w:szCs w:val="24"/>
        </w:rPr>
      </w:pPr>
      <w:r w:rsidRPr="00C8133D">
        <w:rPr>
          <w:rFonts w:ascii="Times New Roman" w:hAnsi="Times New Roman" w:cs="Times New Roman"/>
          <w:sz w:val="24"/>
          <w:szCs w:val="24"/>
        </w:rPr>
        <w:t xml:space="preserve">Emissions (p) = Activity rate </w:t>
      </w:r>
      <w:r w:rsidRPr="00C8133D">
        <w:rPr>
          <w:rFonts w:ascii="Times New Roman" w:hAnsi="Times New Roman" w:cs="Times New Roman"/>
          <w:sz w:val="24"/>
          <w:szCs w:val="24"/>
        </w:rPr>
        <w:sym w:font="Wingdings 2" w:char="F0CD"/>
      </w:r>
      <w:r w:rsidRPr="00C8133D">
        <w:rPr>
          <w:rFonts w:ascii="Times New Roman" w:hAnsi="Times New Roman" w:cs="Times New Roman"/>
          <w:sz w:val="24"/>
          <w:szCs w:val="24"/>
        </w:rPr>
        <w:t xml:space="preserve"> Emission factor (p)</w:t>
      </w:r>
    </w:p>
    <w:p w14:paraId="22BB2838" w14:textId="0DBAD649"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Here, activity rate corresponds to the intensity of the activity in various sectors and emission factor of a pollutant (p) is emissions of a pollutant (p) per unit of the activity data (for example grams of pollutant p per kilogram of fuel burnt). </w:t>
      </w:r>
      <w:r w:rsidR="00BE53B5">
        <w:rPr>
          <w:rFonts w:ascii="Times New Roman" w:hAnsi="Times New Roman" w:cs="Times New Roman"/>
          <w:sz w:val="24"/>
          <w:szCs w:val="24"/>
        </w:rPr>
        <w:t>S</w:t>
      </w:r>
      <w:r w:rsidRPr="00C8133D">
        <w:rPr>
          <w:rFonts w:ascii="Times New Roman" w:hAnsi="Times New Roman" w:cs="Times New Roman"/>
          <w:sz w:val="24"/>
          <w:szCs w:val="24"/>
        </w:rPr>
        <w:t>patial distribution, emission factors</w:t>
      </w:r>
      <w:r w:rsidR="00BE53B5">
        <w:rPr>
          <w:rFonts w:ascii="Times New Roman" w:hAnsi="Times New Roman" w:cs="Times New Roman"/>
          <w:sz w:val="24"/>
          <w:szCs w:val="24"/>
        </w:rPr>
        <w:t xml:space="preserve"> and</w:t>
      </w:r>
      <w:r w:rsidRPr="00C8133D">
        <w:rPr>
          <w:rFonts w:ascii="Times New Roman" w:hAnsi="Times New Roman" w:cs="Times New Roman"/>
          <w:sz w:val="24"/>
          <w:szCs w:val="24"/>
        </w:rPr>
        <w:t xml:space="preserve"> activity data goes into the preparation and development of emission inventories for natural and man-made sources of pollution. Spatial distribution information is likely to be known and relatively easier to collect as compared to the emission factor calculation and activity level quantification that accurately reflects the actual situation in different environmental conditions. Gridded emissions distributed over space and time are generally created at 1</w:t>
      </w:r>
      <w:r w:rsidRPr="00C8133D">
        <w:rPr>
          <w:rFonts w:ascii="Times New Roman" w:eastAsia="Yu Gothic UI Light" w:hAnsi="Times New Roman" w:cs="Times New Roman"/>
          <w:sz w:val="24"/>
          <w:szCs w:val="24"/>
        </w:rPr>
        <w:t>º</w:t>
      </w:r>
      <w:r w:rsidRPr="00C8133D">
        <w:rPr>
          <w:rFonts w:ascii="Times New Roman" w:hAnsi="Times New Roman" w:cs="Times New Roman"/>
          <w:sz w:val="24"/>
          <w:szCs w:val="24"/>
        </w:rPr>
        <w:t xml:space="preserve"> </w:t>
      </w:r>
      <w:r w:rsidRPr="00C8133D">
        <w:rPr>
          <w:rFonts w:ascii="Times New Roman" w:hAnsi="Times New Roman" w:cs="Times New Roman"/>
          <w:sz w:val="24"/>
          <w:szCs w:val="24"/>
        </w:rPr>
        <w:sym w:font="Wingdings 2" w:char="F0CD"/>
      </w:r>
      <w:r w:rsidRPr="00C8133D">
        <w:rPr>
          <w:rFonts w:ascii="Times New Roman" w:hAnsi="Times New Roman" w:cs="Times New Roman"/>
          <w:sz w:val="24"/>
          <w:szCs w:val="24"/>
        </w:rPr>
        <w:t xml:space="preserve"> 1</w:t>
      </w:r>
      <w:r w:rsidR="00BF2947" w:rsidRPr="00C8133D">
        <w:rPr>
          <w:rFonts w:ascii="Times New Roman" w:eastAsia="Yu Gothic UI Light" w:hAnsi="Times New Roman" w:cs="Times New Roman"/>
          <w:sz w:val="24"/>
          <w:szCs w:val="24"/>
        </w:rPr>
        <w:t>º</w:t>
      </w:r>
      <w:r w:rsidR="00BF2947" w:rsidRPr="00C8133D">
        <w:rPr>
          <w:rFonts w:ascii="Times New Roman" w:hAnsi="Times New Roman" w:cs="Times New Roman"/>
          <w:sz w:val="24"/>
          <w:szCs w:val="24"/>
        </w:rPr>
        <w:t xml:space="preserve"> resolution</w:t>
      </w:r>
      <w:r w:rsidRPr="00C8133D">
        <w:rPr>
          <w:rFonts w:ascii="Times New Roman" w:hAnsi="Times New Roman" w:cs="Times New Roman"/>
          <w:sz w:val="24"/>
          <w:szCs w:val="24"/>
        </w:rPr>
        <w:t xml:space="preserve"> scales or finer scales as required to be fed into the atmospheric models (Bond and Scott, 2022).</w:t>
      </w:r>
    </w:p>
    <w:p w14:paraId="726FDE65"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While both receptor models and emission and inventories are fundamental for the development of air pollution prevention and control measures, but given the fact that the receptor models produce independent source contributions purely based on statistical methods, it is strongly recommended to use the emission inventories in combination with the receptor model outputs for mutual validation of the established source categories.</w:t>
      </w:r>
    </w:p>
    <w:p w14:paraId="48B3C320" w14:textId="77777777" w:rsidR="00385971" w:rsidRPr="00C8133D"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lastRenderedPageBreak/>
        <w:t>Emission inventories available for Asia and the world include Regional Emission Inventory in Asia (REAS), Emissions Database for Global Atmospheric Research (EGDAR), Greenhouse Gas and Air Pollution Interactions and Synergies (GAINS), Regional Air Pollution Information and Simulation (RAINS), Global Emissions Initiative (GEIA) etc. This thesis focusses on REAS v2.1, EDGAR v4.3.2 and GAINS v5 emission inventory mainly and evaluate their source identification and emission results against the US EPA PMF v5.0 receptor model outputs. REAS v2.1 captures the regional emissions of air pollutants over Asia between the time period of 2000 to 2008, whereas EDGAR v4.3.2 and GAINS v5 model provides global emissions for time periods 1970-2012 and 1990-2030 respectively. Kurokawa and Ohara (2020) reported continuously increasing air pollutant emissions in India during 1950-2015 using REAS v3 emission inventory. This continuously increasing trend is unlike other countries in Asia like Japan, Taiwan where most of the pollutant species had already attained their peak values by 2015. Therefore, there is an urgent need of reduction in air pollution levels in India and at air pollution hot-spots in the Indo-Gangetic Plain (</w:t>
      </w:r>
      <w:r w:rsidRPr="00C8133D">
        <w:rPr>
          <w:rFonts w:ascii="Times New Roman" w:hAnsi="Times New Roman" w:cs="Times New Roman"/>
          <w:sz w:val="24"/>
          <w:szCs w:val="24"/>
          <w:shd w:val="clear" w:color="auto" w:fill="FFFFFF"/>
        </w:rPr>
        <w:t xml:space="preserve">Mishra and Kulshrestha, 2020; </w:t>
      </w:r>
      <w:r w:rsidRPr="00C8133D">
        <w:rPr>
          <w:rFonts w:ascii="Times New Roman" w:hAnsi="Times New Roman" w:cs="Times New Roman"/>
          <w:sz w:val="24"/>
          <w:szCs w:val="24"/>
        </w:rPr>
        <w:t>Jat and Gurjar, 2021).</w:t>
      </w:r>
    </w:p>
    <w:p w14:paraId="335174F9" w14:textId="2FBF4694" w:rsidR="00385971" w:rsidRPr="00C8133D" w:rsidRDefault="00385971" w:rsidP="00C8133D">
      <w:pPr>
        <w:keepNext/>
        <w:keepLines/>
        <w:spacing w:before="40" w:after="0" w:line="360" w:lineRule="auto"/>
        <w:jc w:val="both"/>
        <w:outlineLvl w:val="1"/>
        <w:rPr>
          <w:rFonts w:ascii="Times New Roman" w:eastAsiaTheme="majorEastAsia" w:hAnsi="Times New Roman" w:cs="Times New Roman"/>
          <w:b/>
          <w:bCs/>
          <w:sz w:val="24"/>
          <w:szCs w:val="24"/>
        </w:rPr>
      </w:pPr>
      <w:bookmarkStart w:id="11" w:name="_Toc146809832"/>
      <w:r w:rsidRPr="00C8133D">
        <w:rPr>
          <w:rFonts w:ascii="Times New Roman" w:eastAsiaTheme="majorEastAsia" w:hAnsi="Times New Roman" w:cs="Times New Roman"/>
          <w:b/>
          <w:bCs/>
          <w:sz w:val="24"/>
          <w:szCs w:val="24"/>
        </w:rPr>
        <w:t>1.6</w:t>
      </w:r>
      <w:r w:rsidRPr="00C8133D">
        <w:rPr>
          <w:rFonts w:ascii="Times New Roman" w:eastAsiaTheme="majorEastAsia" w:hAnsi="Times New Roman" w:cs="Times New Roman"/>
          <w:b/>
          <w:bCs/>
          <w:sz w:val="24"/>
          <w:szCs w:val="24"/>
        </w:rPr>
        <w:tab/>
        <w:t>Research objectives and thesis outline</w:t>
      </w:r>
      <w:bookmarkEnd w:id="11"/>
    </w:p>
    <w:p w14:paraId="57013FD5" w14:textId="49608921" w:rsidR="00385971" w:rsidRDefault="00385971" w:rsidP="00C8133D">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This thesis focusses on source apportionment of two important air pollutants category i.e., volatile organic compounds and particulate matter at a sub-urban site in Mohali, an understudied environment in South Asia for the summer month of May 2012</w:t>
      </w:r>
      <w:r w:rsidR="009442B6" w:rsidRPr="00C8133D">
        <w:rPr>
          <w:rFonts w:ascii="Times New Roman" w:hAnsi="Times New Roman" w:cs="Times New Roman"/>
          <w:sz w:val="24"/>
          <w:szCs w:val="24"/>
        </w:rPr>
        <w:t xml:space="preserve">. This source apportionment exercise has been </w:t>
      </w:r>
      <w:r w:rsidR="0096617E" w:rsidRPr="00C8133D">
        <w:rPr>
          <w:rFonts w:ascii="Times New Roman" w:hAnsi="Times New Roman" w:cs="Times New Roman"/>
          <w:sz w:val="24"/>
          <w:szCs w:val="24"/>
        </w:rPr>
        <w:t xml:space="preserve">carried out </w:t>
      </w:r>
      <w:r w:rsidR="00290AA2" w:rsidRPr="00C8133D">
        <w:rPr>
          <w:rFonts w:ascii="Times New Roman" w:hAnsi="Times New Roman" w:cs="Times New Roman"/>
          <w:sz w:val="24"/>
          <w:szCs w:val="24"/>
        </w:rPr>
        <w:t>using US EPA PMF 5.0 model</w:t>
      </w:r>
      <w:r w:rsidRPr="00C8133D">
        <w:rPr>
          <w:rFonts w:ascii="Times New Roman" w:hAnsi="Times New Roman" w:cs="Times New Roman"/>
          <w:sz w:val="24"/>
          <w:szCs w:val="24"/>
        </w:rPr>
        <w:t>. The current alarming state of air pollution levels in Asia and especially in India has been described in the previous sections. Hence, this is the first study that attempts to assist the policymakers with a detailed source information responsible for air pollution in and around Mohali region.</w:t>
      </w:r>
    </w:p>
    <w:p w14:paraId="16A0653F" w14:textId="4CD522A9" w:rsidR="006F5A12" w:rsidRDefault="006F5A12" w:rsidP="006F5A12">
      <w:p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This work tries to explain the source apportionment steps</w:t>
      </w:r>
      <w:r w:rsidR="00A447F8">
        <w:rPr>
          <w:rFonts w:ascii="Times New Roman" w:hAnsi="Times New Roman" w:cs="Times New Roman"/>
          <w:sz w:val="24"/>
          <w:szCs w:val="24"/>
        </w:rPr>
        <w:t xml:space="preserve"> in a detailed manner</w:t>
      </w:r>
      <w:r w:rsidRPr="00C8133D">
        <w:rPr>
          <w:rFonts w:ascii="Times New Roman" w:hAnsi="Times New Roman" w:cs="Times New Roman"/>
          <w:sz w:val="24"/>
          <w:szCs w:val="24"/>
        </w:rPr>
        <w:t xml:space="preserve"> in order to reconcile any differences in the model implementation, outputs and interpretation that may arise because of the adopted methodology. Therefore, this thesis work not only fills the current gap in the field of air pollution source apportionment studies in India but also addresses many of the methodological questions in the process of source receptor modelling as well as the final model predictions and outcomes relevant for air quality control. The important underlying themes or scientific questions that are answered in the thesis are listed below.</w:t>
      </w:r>
    </w:p>
    <w:p w14:paraId="2704337F" w14:textId="77777777" w:rsidR="006F5A12" w:rsidRPr="00C8133D" w:rsidRDefault="006F5A12" w:rsidP="006F5A12">
      <w:pPr>
        <w:pStyle w:val="ListParagraph"/>
        <w:numPr>
          <w:ilvl w:val="0"/>
          <w:numId w:val="9"/>
        </w:num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lastRenderedPageBreak/>
        <w:t>How does the ambient chemical composition and variability of air look like in terms of VOCs and PM in peak summer month at a sub-urban site in Northwest Indo-Gangetic Plain?</w:t>
      </w:r>
    </w:p>
    <w:p w14:paraId="67385BA3" w14:textId="77777777" w:rsidR="006F5A12" w:rsidRPr="00C8133D" w:rsidRDefault="006F5A12" w:rsidP="006F5A12">
      <w:pPr>
        <w:pStyle w:val="ListParagraph"/>
        <w:numPr>
          <w:ilvl w:val="0"/>
          <w:numId w:val="9"/>
        </w:num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What are the quantitative contributions to VOCs by specific emission sources like cars, two-wheelers, agricultural burning, garbage burning, leaf litter burning, cooking fires, industries etc.?</w:t>
      </w:r>
    </w:p>
    <w:p w14:paraId="78206782" w14:textId="77777777" w:rsidR="006F5A12" w:rsidRPr="00C8133D" w:rsidRDefault="006F5A12" w:rsidP="006F5A12">
      <w:pPr>
        <w:pStyle w:val="ListParagraph"/>
        <w:numPr>
          <w:ilvl w:val="0"/>
          <w:numId w:val="9"/>
        </w:num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 xml:space="preserve">What are the key decision pointers in source receptor modelling methodology using US EPA PMF 5.0 model and how should they be executed? </w:t>
      </w:r>
    </w:p>
    <w:p w14:paraId="0E2FEAA1" w14:textId="77777777" w:rsidR="006F5A12" w:rsidRPr="00C8133D" w:rsidRDefault="006F5A12" w:rsidP="006F5A12">
      <w:pPr>
        <w:pStyle w:val="ListParagraph"/>
        <w:numPr>
          <w:ilvl w:val="0"/>
          <w:numId w:val="9"/>
        </w:num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Evaluation of emission inventories against the source receptor model results. In particular, the accurate incorporation of emissions of seasonal activity into the emission inventory.</w:t>
      </w:r>
    </w:p>
    <w:p w14:paraId="0F6E5430" w14:textId="077C9A48" w:rsidR="006F5A12" w:rsidRPr="006F5A12" w:rsidRDefault="006F5A12" w:rsidP="00C8133D">
      <w:pPr>
        <w:pStyle w:val="ListParagraph"/>
        <w:numPr>
          <w:ilvl w:val="0"/>
          <w:numId w:val="9"/>
        </w:numPr>
        <w:spacing w:line="360" w:lineRule="auto"/>
        <w:jc w:val="both"/>
        <w:rPr>
          <w:rFonts w:ascii="Times New Roman" w:hAnsi="Times New Roman" w:cs="Times New Roman"/>
          <w:sz w:val="24"/>
          <w:szCs w:val="24"/>
        </w:rPr>
      </w:pPr>
      <w:r w:rsidRPr="00C8133D">
        <w:rPr>
          <w:rFonts w:ascii="Times New Roman" w:hAnsi="Times New Roman" w:cs="Times New Roman"/>
          <w:sz w:val="24"/>
          <w:szCs w:val="24"/>
        </w:rPr>
        <w:t>How to devise effective mitigation strategies for air quality control using in-situ observations, sampling at various sources of emission and PMF modelling?</w:t>
      </w:r>
    </w:p>
    <w:p w14:paraId="65FAC43D" w14:textId="77777777" w:rsidR="00385971" w:rsidRPr="00C8133D" w:rsidRDefault="00385971" w:rsidP="00C8133D">
      <w:pPr>
        <w:spacing w:line="360" w:lineRule="auto"/>
        <w:jc w:val="center"/>
        <w:rPr>
          <w:rFonts w:ascii="Times New Roman" w:hAnsi="Times New Roman" w:cs="Times New Roman"/>
          <w:sz w:val="24"/>
          <w:szCs w:val="24"/>
        </w:rPr>
      </w:pPr>
      <w:r w:rsidRPr="00C8133D">
        <w:rPr>
          <w:rFonts w:ascii="Times New Roman" w:hAnsi="Times New Roman" w:cs="Times New Roman"/>
          <w:noProof/>
          <w:sz w:val="24"/>
          <w:szCs w:val="24"/>
          <w:lang w:eastAsia="en-IN"/>
        </w:rPr>
        <w:drawing>
          <wp:inline distT="0" distB="0" distL="0" distR="0" wp14:anchorId="5EB9836C" wp14:editId="2C062109">
            <wp:extent cx="4433187" cy="3136900"/>
            <wp:effectExtent l="0" t="0" r="5715" b="6350"/>
            <wp:docPr id="265330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330288" name=""/>
                    <pic:cNvPicPr/>
                  </pic:nvPicPr>
                  <pic:blipFill>
                    <a:blip r:embed="rId12"/>
                    <a:stretch>
                      <a:fillRect/>
                    </a:stretch>
                  </pic:blipFill>
                  <pic:spPr>
                    <a:xfrm>
                      <a:off x="0" y="0"/>
                      <a:ext cx="4452995" cy="3150916"/>
                    </a:xfrm>
                    <a:prstGeom prst="rect">
                      <a:avLst/>
                    </a:prstGeom>
                  </pic:spPr>
                </pic:pic>
              </a:graphicData>
            </a:graphic>
          </wp:inline>
        </w:drawing>
      </w:r>
    </w:p>
    <w:p w14:paraId="60474DA5" w14:textId="4A2C812D" w:rsidR="00385971" w:rsidRPr="00C8133D" w:rsidRDefault="0043609E" w:rsidP="00C8133D">
      <w:pPr>
        <w:pStyle w:val="Caption"/>
        <w:spacing w:line="360" w:lineRule="auto"/>
        <w:jc w:val="both"/>
        <w:rPr>
          <w:rFonts w:ascii="Times New Roman" w:hAnsi="Times New Roman" w:cs="Times New Roman"/>
          <w:color w:val="auto"/>
          <w:sz w:val="24"/>
          <w:szCs w:val="24"/>
        </w:rPr>
      </w:pPr>
      <w:bookmarkStart w:id="12" w:name="_Toc133575313"/>
      <w:bookmarkStart w:id="13" w:name="_Toc133576759"/>
      <w:r w:rsidRPr="00C8133D">
        <w:rPr>
          <w:rFonts w:ascii="Times New Roman" w:hAnsi="Times New Roman" w:cs="Times New Roman"/>
          <w:color w:val="auto"/>
          <w:sz w:val="24"/>
          <w:szCs w:val="24"/>
        </w:rPr>
        <w:t xml:space="preserve">Figure 1. </w:t>
      </w:r>
      <w:r w:rsidR="00BE53B5">
        <w:rPr>
          <w:rFonts w:ascii="Times New Roman" w:hAnsi="Times New Roman" w:cs="Times New Roman"/>
          <w:color w:val="auto"/>
          <w:sz w:val="24"/>
          <w:szCs w:val="24"/>
        </w:rPr>
        <w:t>3</w:t>
      </w:r>
      <w:r w:rsidR="00A348BB" w:rsidRPr="00C8133D">
        <w:rPr>
          <w:rFonts w:ascii="Times New Roman" w:hAnsi="Times New Roman" w:cs="Times New Roman"/>
          <w:color w:val="auto"/>
          <w:sz w:val="24"/>
          <w:szCs w:val="24"/>
        </w:rPr>
        <w:t xml:space="preserve"> </w:t>
      </w:r>
      <w:r w:rsidR="00385971" w:rsidRPr="00C8133D">
        <w:rPr>
          <w:rFonts w:ascii="Times New Roman" w:hAnsi="Times New Roman" w:cs="Times New Roman"/>
          <w:color w:val="auto"/>
          <w:sz w:val="24"/>
          <w:szCs w:val="24"/>
        </w:rPr>
        <w:t>Schematic diagram representing different methods employed for source apportionment and validation in the thesis.</w:t>
      </w:r>
      <w:bookmarkEnd w:id="12"/>
      <w:bookmarkEnd w:id="13"/>
    </w:p>
    <w:p w14:paraId="659BE431" w14:textId="18AA6A05" w:rsidR="00BE53B5" w:rsidRDefault="00BE53B5" w:rsidP="004C7BDE">
      <w:pPr>
        <w:spacing w:line="360" w:lineRule="auto"/>
        <w:jc w:val="both"/>
        <w:rPr>
          <w:rFonts w:ascii="Times New Roman" w:hAnsi="Times New Roman" w:cs="Times New Roman"/>
          <w:sz w:val="24"/>
          <w:szCs w:val="24"/>
        </w:rPr>
      </w:pPr>
    </w:p>
    <w:p w14:paraId="5CB209E5" w14:textId="77777777" w:rsidR="003B6E7B" w:rsidRPr="00F26949" w:rsidRDefault="003B6E7B" w:rsidP="004C7BDE">
      <w:pPr>
        <w:spacing w:line="360" w:lineRule="auto"/>
        <w:jc w:val="both"/>
        <w:rPr>
          <w:rFonts w:ascii="Times New Roman" w:hAnsi="Times New Roman" w:cs="Times New Roman"/>
          <w:sz w:val="24"/>
          <w:szCs w:val="24"/>
        </w:rPr>
      </w:pPr>
    </w:p>
    <w:p w14:paraId="7E0CD799" w14:textId="44EC6B00" w:rsidR="009C3F4A" w:rsidRPr="00F26949" w:rsidRDefault="009C3F4A" w:rsidP="009C3F4A">
      <w:pPr>
        <w:keepNext/>
        <w:keepLines/>
        <w:spacing w:before="240" w:after="0" w:line="360" w:lineRule="auto"/>
        <w:jc w:val="both"/>
        <w:outlineLvl w:val="0"/>
        <w:rPr>
          <w:rFonts w:ascii="Times New Roman" w:eastAsiaTheme="majorEastAsia" w:hAnsi="Times New Roman" w:cs="Times New Roman"/>
          <w:bCs/>
          <w:sz w:val="56"/>
          <w:szCs w:val="56"/>
        </w:rPr>
      </w:pPr>
      <w:bookmarkStart w:id="14" w:name="_Toc146809833"/>
      <w:r w:rsidRPr="00F26949">
        <w:rPr>
          <w:rFonts w:ascii="Times New Roman" w:eastAsiaTheme="majorEastAsia" w:hAnsi="Times New Roman" w:cs="Times New Roman"/>
          <w:bCs/>
          <w:sz w:val="56"/>
          <w:szCs w:val="56"/>
        </w:rPr>
        <w:lastRenderedPageBreak/>
        <w:t>2</w:t>
      </w:r>
      <w:r w:rsidRPr="00F26949">
        <w:rPr>
          <w:rFonts w:ascii="Times New Roman" w:eastAsiaTheme="majorEastAsia" w:hAnsi="Times New Roman" w:cs="Times New Roman"/>
          <w:bCs/>
          <w:sz w:val="56"/>
          <w:szCs w:val="56"/>
        </w:rPr>
        <w:tab/>
      </w:r>
      <w:bookmarkStart w:id="15" w:name="_Hlk146808915"/>
      <w:r w:rsidRPr="00F26949">
        <w:rPr>
          <w:rFonts w:ascii="Times New Roman" w:eastAsiaTheme="majorEastAsia" w:hAnsi="Times New Roman" w:cs="Times New Roman"/>
          <w:bCs/>
          <w:sz w:val="56"/>
          <w:szCs w:val="56"/>
        </w:rPr>
        <w:t>M</w:t>
      </w:r>
      <w:r w:rsidR="005E40C0">
        <w:rPr>
          <w:rFonts w:ascii="Times New Roman" w:eastAsiaTheme="majorEastAsia" w:hAnsi="Times New Roman" w:cs="Times New Roman"/>
          <w:bCs/>
          <w:sz w:val="56"/>
          <w:szCs w:val="56"/>
        </w:rPr>
        <w:t>ethodology</w:t>
      </w:r>
      <w:bookmarkEnd w:id="14"/>
    </w:p>
    <w:p w14:paraId="4DB80809" w14:textId="77777777" w:rsidR="009C3F4A" w:rsidRPr="00F26949" w:rsidRDefault="009C3F4A" w:rsidP="009C3F4A">
      <w:pPr>
        <w:spacing w:line="360" w:lineRule="auto"/>
        <w:rPr>
          <w:rFonts w:ascii="Times New Roman" w:hAnsi="Times New Roman" w:cs="Times New Roman"/>
          <w:bCs/>
          <w:sz w:val="24"/>
          <w:szCs w:val="24"/>
        </w:rPr>
      </w:pPr>
    </w:p>
    <w:p w14:paraId="28191A10" w14:textId="712442CA" w:rsidR="009C3F4A" w:rsidRPr="00CD742E" w:rsidRDefault="009C3F4A" w:rsidP="00CD742E">
      <w:pPr>
        <w:keepNext/>
        <w:keepLines/>
        <w:spacing w:before="40" w:after="0" w:line="360" w:lineRule="auto"/>
        <w:jc w:val="both"/>
        <w:outlineLvl w:val="1"/>
        <w:rPr>
          <w:rFonts w:ascii="Times New Roman" w:eastAsiaTheme="majorEastAsia" w:hAnsi="Times New Roman" w:cs="Times New Roman"/>
          <w:b/>
          <w:sz w:val="24"/>
          <w:szCs w:val="24"/>
        </w:rPr>
      </w:pPr>
      <w:bookmarkStart w:id="16" w:name="_Toc146809834"/>
      <w:r w:rsidRPr="00CD742E">
        <w:rPr>
          <w:rFonts w:ascii="Times New Roman" w:eastAsiaTheme="majorEastAsia" w:hAnsi="Times New Roman" w:cs="Times New Roman"/>
          <w:b/>
          <w:sz w:val="24"/>
          <w:szCs w:val="24"/>
        </w:rPr>
        <w:t>2.1</w:t>
      </w:r>
      <w:r w:rsidRPr="00CD742E">
        <w:rPr>
          <w:rFonts w:ascii="Times New Roman" w:eastAsiaTheme="majorEastAsia" w:hAnsi="Times New Roman" w:cs="Times New Roman"/>
          <w:b/>
          <w:sz w:val="24"/>
          <w:szCs w:val="24"/>
        </w:rPr>
        <w:tab/>
      </w:r>
      <w:r w:rsidR="005E40C0" w:rsidRPr="00CD742E">
        <w:rPr>
          <w:rFonts w:ascii="Times New Roman" w:eastAsiaTheme="majorEastAsia" w:hAnsi="Times New Roman" w:cs="Times New Roman"/>
          <w:b/>
          <w:sz w:val="24"/>
          <w:szCs w:val="24"/>
        </w:rPr>
        <w:t>Source apportionment techniques</w:t>
      </w:r>
      <w:bookmarkEnd w:id="16"/>
    </w:p>
    <w:p w14:paraId="26B6EBD2"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In order to limit air pollution levels and formulate methods to control emissions of air pollutants, it is critical to first carry out qualitative and quantitative investigation of sources of emission at the site of interest. The practice of deriving this source information is called Source Apportionment. Source receptor modelling is one of the source apportionment techniques that captures the source information quantitatively using mass balance analysis (Hopke, 1985; Gordon, 1988; Hopke, 1991; Hopke, 2016). Source receptor models commonly employed for source apportionment at local and regional scales include PMF (Positive Matrix Factorisation), UNMIX, PCA (Principal Component Analysis) and CMB (Chemical Mass Balance) models (Song et al., 2008; Viana et al., 2008). Receptor models are mathematical or statistical procedures developed to identify and quantify the sources of air pollution at the receptor site (Henry et al., 1984; Watson, 1984; Henry, 1991). These models make use of the correlation trends/ patterns in the ambient data of air pollutants to derive characteristic chemical profile of emission sources. The idea that operates behind the machinery of source receptor models is the assumed correlation between different chemical species of one single source which is further utilised to estimate the composition of that particular source. A preliminary investigation of the active emission sources in the area followed by proper alignment of model results with the experimentally obtained data and/or source profiles available in the literature proves to be extremely useful in aiding the policymakers in imposing prioritized emission checks.</w:t>
      </w:r>
    </w:p>
    <w:p w14:paraId="528195DA" w14:textId="41477960" w:rsidR="009C3F4A" w:rsidRPr="00CD742E" w:rsidRDefault="009C3F4A" w:rsidP="00CD742E">
      <w:pPr>
        <w:keepNext/>
        <w:keepLines/>
        <w:spacing w:before="40" w:after="0" w:line="360" w:lineRule="auto"/>
        <w:jc w:val="both"/>
        <w:outlineLvl w:val="2"/>
        <w:rPr>
          <w:rFonts w:ascii="Times New Roman" w:eastAsiaTheme="majorEastAsia" w:hAnsi="Times New Roman" w:cs="Times New Roman"/>
          <w:b/>
          <w:sz w:val="24"/>
          <w:szCs w:val="24"/>
        </w:rPr>
      </w:pPr>
      <w:bookmarkStart w:id="17" w:name="_Toc146809835"/>
      <w:r w:rsidRPr="00CD742E">
        <w:rPr>
          <w:rFonts w:ascii="Times New Roman" w:eastAsiaTheme="majorEastAsia" w:hAnsi="Times New Roman" w:cs="Times New Roman"/>
          <w:b/>
          <w:sz w:val="24"/>
          <w:szCs w:val="24"/>
        </w:rPr>
        <w:t>2.</w:t>
      </w:r>
      <w:r w:rsidR="004571C8">
        <w:rPr>
          <w:rFonts w:ascii="Times New Roman" w:eastAsiaTheme="majorEastAsia" w:hAnsi="Times New Roman" w:cs="Times New Roman"/>
          <w:b/>
          <w:sz w:val="24"/>
          <w:szCs w:val="24"/>
        </w:rPr>
        <w:t>1</w:t>
      </w:r>
      <w:r w:rsidRPr="00CD742E">
        <w:rPr>
          <w:rFonts w:ascii="Times New Roman" w:eastAsiaTheme="majorEastAsia" w:hAnsi="Times New Roman" w:cs="Times New Roman"/>
          <w:b/>
          <w:sz w:val="24"/>
          <w:szCs w:val="24"/>
        </w:rPr>
        <w:t>.1</w:t>
      </w:r>
      <w:r w:rsidRPr="00CD742E">
        <w:rPr>
          <w:rFonts w:ascii="Times New Roman" w:eastAsiaTheme="majorEastAsia" w:hAnsi="Times New Roman" w:cs="Times New Roman"/>
          <w:b/>
          <w:sz w:val="24"/>
          <w:szCs w:val="24"/>
        </w:rPr>
        <w:tab/>
        <w:t>PMF</w:t>
      </w:r>
      <w:bookmarkEnd w:id="17"/>
      <w:r w:rsidRPr="00CD742E">
        <w:rPr>
          <w:rFonts w:ascii="Times New Roman" w:eastAsiaTheme="majorEastAsia" w:hAnsi="Times New Roman" w:cs="Times New Roman"/>
          <w:b/>
          <w:sz w:val="24"/>
          <w:szCs w:val="24"/>
        </w:rPr>
        <w:tab/>
      </w:r>
    </w:p>
    <w:p w14:paraId="505EBFBC"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United States Environmental Protection Agency (US EPA) scientists developed Positive Matrix Factorization (PMF) Model to provide scientific support in assuring air/ water/ overall environmental standards. PMF model can apportion the sources using following types of sample data: ambient air, surface water, sediments and wet deposition. US EPA PMF model requires two set of input data files. These are the following.</w:t>
      </w:r>
    </w:p>
    <w:p w14:paraId="5DEE6C95"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1. Concentration data file: Ambient concentration dataset for different chemical species. </w:t>
      </w:r>
    </w:p>
    <w:p w14:paraId="1EC86F71"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lastRenderedPageBreak/>
        <w:t xml:space="preserve">2. Uncertainty data file: Uncertainty values associated with the measured concentration levels for corresponding chemical species. </w:t>
      </w:r>
    </w:p>
    <w:p w14:paraId="0A67F754"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Two types of uncertainty files are accepted by US EPA PMF model – equation based and observation based (Norris et al., 2008; Norris et al., 2014). Equation based uncertainty file contains two row inputs (detection limits in the first row and species specific uncertainty value in the second row) for the chemical species under consideration for modelling. Using these two species specific parameters, the uncertainty is calculated for each sample. The uncertainty equals a fixed fraction of the detection limit (5/6*DL) if the concentration of the specie is less than or equal to the detection limit, and equals ((species specific uncertainty*concentration)</w:t>
      </w:r>
      <w:r w:rsidRPr="00CD742E">
        <w:rPr>
          <w:rFonts w:ascii="Times New Roman" w:hAnsi="Times New Roman" w:cs="Times New Roman"/>
          <w:bCs/>
          <w:sz w:val="24"/>
          <w:szCs w:val="24"/>
          <w:vertAlign w:val="superscript"/>
        </w:rPr>
        <w:t>2</w:t>
      </w:r>
      <w:r w:rsidRPr="00CD742E">
        <w:rPr>
          <w:rFonts w:ascii="Times New Roman" w:hAnsi="Times New Roman" w:cs="Times New Roman"/>
          <w:bCs/>
          <w:sz w:val="24"/>
          <w:szCs w:val="24"/>
        </w:rPr>
        <w:t xml:space="preserve"> + (0.5*DL)</w:t>
      </w:r>
      <w:r w:rsidRPr="00CD742E">
        <w:rPr>
          <w:rFonts w:ascii="Times New Roman" w:hAnsi="Times New Roman" w:cs="Times New Roman"/>
          <w:bCs/>
          <w:sz w:val="24"/>
          <w:szCs w:val="24"/>
          <w:vertAlign w:val="superscript"/>
        </w:rPr>
        <w:t>2</w:t>
      </w:r>
      <w:r w:rsidRPr="00CD742E">
        <w:rPr>
          <w:rFonts w:ascii="Times New Roman" w:hAnsi="Times New Roman" w:cs="Times New Roman"/>
          <w:bCs/>
          <w:sz w:val="24"/>
          <w:szCs w:val="24"/>
        </w:rPr>
        <w:t>)</w:t>
      </w:r>
      <w:r w:rsidRPr="00CD742E">
        <w:rPr>
          <w:rFonts w:ascii="Times New Roman" w:hAnsi="Times New Roman" w:cs="Times New Roman"/>
          <w:bCs/>
          <w:sz w:val="24"/>
          <w:szCs w:val="24"/>
          <w:vertAlign w:val="superscript"/>
        </w:rPr>
        <w:t>1/2</w:t>
      </w:r>
      <w:r w:rsidRPr="00CD742E">
        <w:rPr>
          <w:rFonts w:ascii="Times New Roman" w:hAnsi="Times New Roman" w:cs="Times New Roman"/>
          <w:bCs/>
          <w:sz w:val="24"/>
          <w:szCs w:val="24"/>
        </w:rPr>
        <w:t xml:space="preserve"> if the concentration of the specie is greater than the provided detection limit. Observation based uncertainty file is of same dimension (same number of rows and columns) as that of the concentration data file. It contains uncertainty associated to every data point in the concentration datafile, i.e., for every intersection of the chemical specie and the given sample in the concentration datafile, there is a corresponding uncertainty value in the observation based uncertainty file.</w:t>
      </w:r>
    </w:p>
    <w:p w14:paraId="51880A9C"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No a priori knowledge of source profiles in a given area, incorporation of variable i.e., point by point uncertainties associated with the data points and non-negative source profiles and source contributions are the features that makes PMF model more reliable among other possible receptor models (Viana et al., 2008; Comero et al., 2009; Guo et al., 2017; Hopke et al., 2020) and this in turn gives us a better and realistic assessment of pollution sources. Among PMF, UNMIX, PCA and CMB receptor models, PMF model best extracts the major source profiles and provides robust results for source identification (Leuchner &amp; Rappenglück, 2010).</w:t>
      </w:r>
    </w:p>
    <w:p w14:paraId="6B0BEC3E"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However, it is difficult for PMF to extract sources that are similar (Miller et al., 2002). Besides this, chemical transformation during transport from source to the receptor site is one such consideration that needs due attention in receptor modelling studies since highly reactive chemical species are bound to deplete earlier and additionally are accompanied by formation of secondary pollutants. This is what that limits the application of receptor model to highly reactive chemical species.</w:t>
      </w:r>
    </w:p>
    <w:p w14:paraId="4373041A" w14:textId="3DB93366"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Despite of all the limitations of the PMF model, this technique is widely accepted worldwide over other available source receptor modelling techniques for air quality </w:t>
      </w:r>
      <w:r w:rsidRPr="00CD742E">
        <w:rPr>
          <w:rFonts w:ascii="Times New Roman" w:hAnsi="Times New Roman" w:cs="Times New Roman"/>
          <w:bCs/>
          <w:sz w:val="24"/>
          <w:szCs w:val="24"/>
        </w:rPr>
        <w:lastRenderedPageBreak/>
        <w:t xml:space="preserve">management and related analysis (Lee et al., 2008; Wu et al., 2012; Cesari et al., 2016; Wang et al., 2022). This is because the advantages of PMF source receptor modelling outweighs its shortcomings drastically. PMF model has been extensively used for source apportionment of environmental pollutants in the last decade (Reff et al.,2007; Karanasiou et al., 2009). Specifically, it helped in the source attribution of VOCs, particulate matter (PM), persistent organic pollutants (POPs), inorganic cations, anions and heavy metals.  </w:t>
      </w:r>
      <w:r w:rsidR="00BE53B5">
        <w:rPr>
          <w:rFonts w:ascii="Times New Roman" w:hAnsi="Times New Roman" w:cs="Times New Roman"/>
          <w:bCs/>
          <w:sz w:val="24"/>
          <w:szCs w:val="24"/>
        </w:rPr>
        <w:t>T</w:t>
      </w:r>
      <w:r w:rsidRPr="00CD742E">
        <w:rPr>
          <w:rFonts w:ascii="Times New Roman" w:hAnsi="Times New Roman" w:cs="Times New Roman"/>
          <w:bCs/>
          <w:sz w:val="24"/>
          <w:szCs w:val="24"/>
        </w:rPr>
        <w:t xml:space="preserve">he </w:t>
      </w:r>
      <w:r w:rsidR="00BE53B5">
        <w:rPr>
          <w:rFonts w:ascii="Times New Roman" w:hAnsi="Times New Roman" w:cs="Times New Roman"/>
          <w:bCs/>
          <w:sz w:val="24"/>
          <w:szCs w:val="24"/>
        </w:rPr>
        <w:t>continuously increasing</w:t>
      </w:r>
      <w:r w:rsidRPr="00CD742E">
        <w:rPr>
          <w:rFonts w:ascii="Times New Roman" w:hAnsi="Times New Roman" w:cs="Times New Roman"/>
          <w:bCs/>
          <w:sz w:val="24"/>
          <w:szCs w:val="24"/>
        </w:rPr>
        <w:t xml:space="preserve"> application of PMF model for source apportionment of VOCs over a seventeen year time period</w:t>
      </w:r>
      <w:r w:rsidR="00BE53B5">
        <w:rPr>
          <w:rFonts w:ascii="Times New Roman" w:hAnsi="Times New Roman" w:cs="Times New Roman"/>
          <w:bCs/>
          <w:sz w:val="24"/>
          <w:szCs w:val="24"/>
        </w:rPr>
        <w:t xml:space="preserve"> (2002-2018)</w:t>
      </w:r>
      <w:r w:rsidR="008A6B06">
        <w:rPr>
          <w:rFonts w:ascii="Times New Roman" w:hAnsi="Times New Roman" w:cs="Times New Roman"/>
          <w:bCs/>
          <w:sz w:val="24"/>
          <w:szCs w:val="24"/>
        </w:rPr>
        <w:t xml:space="preserve"> </w:t>
      </w:r>
      <w:r w:rsidRPr="00CD742E">
        <w:rPr>
          <w:rFonts w:ascii="Times New Roman" w:hAnsi="Times New Roman" w:cs="Times New Roman"/>
          <w:bCs/>
          <w:sz w:val="24"/>
          <w:szCs w:val="24"/>
        </w:rPr>
        <w:t xml:space="preserve">has been </w:t>
      </w:r>
      <w:r w:rsidR="008A6B06">
        <w:rPr>
          <w:rFonts w:ascii="Times New Roman" w:hAnsi="Times New Roman" w:cs="Times New Roman"/>
          <w:bCs/>
          <w:sz w:val="24"/>
          <w:szCs w:val="24"/>
        </w:rPr>
        <w:t>reported in a review study</w:t>
      </w:r>
      <w:r w:rsidRPr="00CD742E">
        <w:rPr>
          <w:rFonts w:ascii="Times New Roman" w:hAnsi="Times New Roman" w:cs="Times New Roman"/>
          <w:bCs/>
          <w:sz w:val="24"/>
          <w:szCs w:val="24"/>
        </w:rPr>
        <w:t>, which clearly demonstrates the growing credibility of PMF method for carrying out source apportionment studies (Sun et al., 2020).</w:t>
      </w:r>
    </w:p>
    <w:p w14:paraId="548CB623" w14:textId="4AA1B413" w:rsidR="009C3F4A" w:rsidRPr="00CD742E" w:rsidRDefault="009C3F4A" w:rsidP="00CD742E">
      <w:pPr>
        <w:keepNext/>
        <w:keepLines/>
        <w:spacing w:before="40" w:after="0" w:line="360" w:lineRule="auto"/>
        <w:jc w:val="both"/>
        <w:outlineLvl w:val="2"/>
        <w:rPr>
          <w:rFonts w:ascii="Times New Roman" w:eastAsiaTheme="majorEastAsia" w:hAnsi="Times New Roman" w:cs="Times New Roman"/>
          <w:b/>
          <w:sz w:val="24"/>
          <w:szCs w:val="24"/>
        </w:rPr>
      </w:pPr>
      <w:bookmarkStart w:id="18" w:name="_Toc146809836"/>
      <w:r w:rsidRPr="00CD742E">
        <w:rPr>
          <w:rFonts w:ascii="Times New Roman" w:eastAsiaTheme="majorEastAsia" w:hAnsi="Times New Roman" w:cs="Times New Roman"/>
          <w:b/>
          <w:sz w:val="24"/>
          <w:szCs w:val="24"/>
        </w:rPr>
        <w:t>2.</w:t>
      </w:r>
      <w:r w:rsidR="004571C8">
        <w:rPr>
          <w:rFonts w:ascii="Times New Roman" w:eastAsiaTheme="majorEastAsia" w:hAnsi="Times New Roman" w:cs="Times New Roman"/>
          <w:b/>
          <w:sz w:val="24"/>
          <w:szCs w:val="24"/>
        </w:rPr>
        <w:t>1</w:t>
      </w:r>
      <w:r w:rsidRPr="00CD742E">
        <w:rPr>
          <w:rFonts w:ascii="Times New Roman" w:eastAsiaTheme="majorEastAsia" w:hAnsi="Times New Roman" w:cs="Times New Roman"/>
          <w:b/>
          <w:sz w:val="24"/>
          <w:szCs w:val="24"/>
        </w:rPr>
        <w:t>.2</w:t>
      </w:r>
      <w:r w:rsidRPr="00CD742E">
        <w:rPr>
          <w:rFonts w:ascii="Times New Roman" w:eastAsiaTheme="majorEastAsia" w:hAnsi="Times New Roman" w:cs="Times New Roman"/>
          <w:b/>
          <w:sz w:val="24"/>
          <w:szCs w:val="24"/>
        </w:rPr>
        <w:tab/>
        <w:t>PCA, UNMIX, CMB</w:t>
      </w:r>
      <w:bookmarkEnd w:id="18"/>
      <w:r w:rsidRPr="00CD742E">
        <w:rPr>
          <w:rFonts w:ascii="Times New Roman" w:eastAsiaTheme="majorEastAsia" w:hAnsi="Times New Roman" w:cs="Times New Roman"/>
          <w:b/>
          <w:sz w:val="24"/>
          <w:szCs w:val="24"/>
        </w:rPr>
        <w:tab/>
      </w:r>
    </w:p>
    <w:p w14:paraId="26805168" w14:textId="77777777" w:rsidR="00A06C20" w:rsidRDefault="00335751" w:rsidP="00CD742E">
      <w:pPr>
        <w:spacing w:line="360" w:lineRule="auto"/>
        <w:jc w:val="both"/>
        <w:rPr>
          <w:rFonts w:ascii="Times New Roman" w:hAnsi="Times New Roman" w:cs="Times New Roman"/>
          <w:bCs/>
          <w:sz w:val="24"/>
          <w:szCs w:val="24"/>
        </w:rPr>
      </w:pPr>
      <w:r w:rsidRPr="00335751">
        <w:rPr>
          <w:rFonts w:ascii="Times New Roman" w:hAnsi="Times New Roman" w:cs="Times New Roman"/>
          <w:bCs/>
          <w:sz w:val="24"/>
          <w:szCs w:val="24"/>
        </w:rPr>
        <w:t xml:space="preserve">Principal component analysis (PCA) technique is designed to extract (orthogonal) principal components out of the dataset on the basis of a similarity pattern in the dataset (Maćkiewicz and Ratajczak, 1993; Abdi and Williams, 2010). In other words, the application of this technique reduces the dataset into some linear combination of the data without loss of most of the information (Granato et al., 2018; Rao, 1964). </w:t>
      </w:r>
      <w:r w:rsidR="009C3F4A" w:rsidRPr="00CD742E">
        <w:rPr>
          <w:rFonts w:ascii="Times New Roman" w:hAnsi="Times New Roman" w:cs="Times New Roman"/>
          <w:bCs/>
          <w:sz w:val="24"/>
          <w:szCs w:val="24"/>
        </w:rPr>
        <w:t xml:space="preserve">PCA and UNMIX requires only ambient measurements as the input data and no measurement uncertainties; therefore, there is no individual weighing of data points in these two source apportionment models. There is no input uncertainty data to the model, implying an underlying assumption of a certain level of accuracy in the dataset for a good model fit (Pekney et al., 2006). Both of these also require no prior detailed estimates of existing sources to extract mathematically/ statistically valid solutions. </w:t>
      </w:r>
      <w:r w:rsidR="009C3F4A" w:rsidRPr="00CD742E">
        <w:rPr>
          <w:rFonts w:ascii="Times New Roman" w:hAnsi="Times New Roman" w:cs="Times New Roman"/>
          <w:bCs/>
          <w:sz w:val="24"/>
          <w:szCs w:val="24"/>
          <w:lang w:val="en-US"/>
        </w:rPr>
        <w:t xml:space="preserve">They rely on the internal variability of the data to determine factor profiles and their contributions to each sample. </w:t>
      </w:r>
      <w:r w:rsidR="009C3F4A" w:rsidRPr="00CD742E">
        <w:rPr>
          <w:rFonts w:ascii="Times New Roman" w:hAnsi="Times New Roman" w:cs="Times New Roman"/>
          <w:bCs/>
          <w:sz w:val="24"/>
          <w:szCs w:val="24"/>
        </w:rPr>
        <w:t>But, the main drawback of using PCA model is absence of non-negative constraint which implies that factors extracted with the application of PCA model on the ambient measurements dataset does not necessarily result in physically meaningful factors (Cheng et al., 2015; Samek et al., 2016). During the development of PMF model, the issue of factors with negative contributions was addressed and the limitations specific to PCA were taken care of (Chavent et al., 2009). PMF forced the factor profile and factor contribution matrix to be non-negative so that the rotational ambiguity of the solution space gets reduced and model results become more realistic. Another disadvantage that PCA registers is its inability to clearly separate covariant factors.</w:t>
      </w:r>
    </w:p>
    <w:p w14:paraId="2E3AA17A" w14:textId="051F8D6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lastRenderedPageBreak/>
        <w:t>UNMIX uses a similar approach like that of a PCA model. It solves the source apportionment problem using a geometrical approach. It plots a data matrix of order n x m in a data space with dimension m. It works on the assumption that for every factor, there will exist some negligible contributing data points which are termed as edge points. UNMIX finds these points, fits a hyperplane through them. This hyperplane is known as an edge. In case of p number of factors, intersection of p - 1 edges give one contributing factor which determines the composition of the factor (Henry, 2003). It eliminates the issue of rotational ambiguity which exists in case of PMF modelling (Lewis et al., 2003).</w:t>
      </w:r>
    </w:p>
    <w:p w14:paraId="1A518B02"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CMB model consists of a least squares solution to a set of mass-balance linear equations that expresses chemical concentration value as a linear sum of products of source profile and source contributions (Pace, 1991; Watson et al., 2001). CMB model requires ambient </w:t>
      </w:r>
      <w:r w:rsidRPr="00CD742E">
        <w:rPr>
          <w:rFonts w:ascii="Times New Roman" w:hAnsi="Times New Roman" w:cs="Times New Roman"/>
          <w:bCs/>
          <w:sz w:val="24"/>
          <w:szCs w:val="24"/>
          <w:lang w:val="en-US"/>
        </w:rPr>
        <w:t xml:space="preserve">concentration datafile, measurement uncertainties datafile and source profiles as input data. </w:t>
      </w:r>
      <w:r w:rsidRPr="00CD742E">
        <w:rPr>
          <w:rFonts w:ascii="Times New Roman" w:hAnsi="Times New Roman" w:cs="Times New Roman"/>
          <w:bCs/>
          <w:sz w:val="24"/>
          <w:szCs w:val="24"/>
        </w:rPr>
        <w:t xml:space="preserve">The output gives the amount contributed by every source profile to chemical species and the total mass. CMB requires a prior and detailed knowledge about number of sources at a given site and the actual chemical composition of source profiles which restricts its use to a large extent. This is especially worrisome in case of developing countries where very few source profiles have been measured in which case there is a tendency to apply the source profiles derived from environments of developed nations (Hopke, 2016).  Na &amp; Pyo Kim in 2007 worked in the direction of solving the limitation of receptor models’ application to very reactive chemical species. They showed for Seoul in Korea that CMB calculations after accommodating the reaction loss, better fits the factor profiles to measured VOCs but it does not significantly affect factor contribution’s estimation. </w:t>
      </w:r>
    </w:p>
    <w:p w14:paraId="454E7C5B" w14:textId="0D736E0F" w:rsidR="009C3F4A" w:rsidRPr="00CD742E" w:rsidRDefault="009C3F4A" w:rsidP="00CD742E">
      <w:pPr>
        <w:keepNext/>
        <w:keepLines/>
        <w:spacing w:before="40" w:after="0" w:line="360" w:lineRule="auto"/>
        <w:jc w:val="both"/>
        <w:outlineLvl w:val="1"/>
        <w:rPr>
          <w:rFonts w:ascii="Times New Roman" w:eastAsiaTheme="majorEastAsia" w:hAnsi="Times New Roman" w:cs="Times New Roman"/>
          <w:b/>
          <w:sz w:val="24"/>
          <w:szCs w:val="24"/>
        </w:rPr>
      </w:pPr>
      <w:bookmarkStart w:id="19" w:name="_Toc146809837"/>
      <w:r w:rsidRPr="00CD742E">
        <w:rPr>
          <w:rFonts w:ascii="Times New Roman" w:eastAsiaTheme="majorEastAsia" w:hAnsi="Times New Roman" w:cs="Times New Roman"/>
          <w:b/>
          <w:sz w:val="24"/>
          <w:szCs w:val="24"/>
        </w:rPr>
        <w:t>2.</w:t>
      </w:r>
      <w:r w:rsidR="004571C8">
        <w:rPr>
          <w:rFonts w:ascii="Times New Roman" w:eastAsiaTheme="majorEastAsia" w:hAnsi="Times New Roman" w:cs="Times New Roman"/>
          <w:b/>
          <w:sz w:val="24"/>
          <w:szCs w:val="24"/>
        </w:rPr>
        <w:t>2</w:t>
      </w:r>
      <w:r w:rsidRPr="00CD742E">
        <w:rPr>
          <w:rFonts w:ascii="Times New Roman" w:eastAsiaTheme="majorEastAsia" w:hAnsi="Times New Roman" w:cs="Times New Roman"/>
          <w:b/>
          <w:sz w:val="24"/>
          <w:szCs w:val="24"/>
        </w:rPr>
        <w:tab/>
        <w:t>US EPA PMF and its execution</w:t>
      </w:r>
      <w:bookmarkEnd w:id="19"/>
      <w:r w:rsidRPr="00CD742E">
        <w:rPr>
          <w:rFonts w:ascii="Times New Roman" w:eastAsiaTheme="majorEastAsia" w:hAnsi="Times New Roman" w:cs="Times New Roman"/>
          <w:b/>
          <w:sz w:val="24"/>
          <w:szCs w:val="24"/>
        </w:rPr>
        <w:tab/>
      </w:r>
      <w:r w:rsidRPr="00CD742E">
        <w:rPr>
          <w:rFonts w:ascii="Times New Roman" w:eastAsiaTheme="majorEastAsia" w:hAnsi="Times New Roman" w:cs="Times New Roman"/>
          <w:b/>
          <w:sz w:val="24"/>
          <w:szCs w:val="24"/>
        </w:rPr>
        <w:tab/>
      </w:r>
    </w:p>
    <w:p w14:paraId="12EED4F7" w14:textId="0F08C1FA" w:rsidR="009C3F4A" w:rsidRPr="00CD742E" w:rsidRDefault="009C3F4A" w:rsidP="005C5D18">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The study carried out in this thesis utilizes US EPA PMF v5.0 receptor modelling technique for source apportionment of volatile organic compounds and particulate matter measured at IISER Mohali Atmospheric Chemistry Facility. PMF model apportions the ambient measurements dataset and derives source profiles out of it along with uncertainty estimates. </w:t>
      </w:r>
    </w:p>
    <w:p w14:paraId="6F6CCACA"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US EPA PMF v3.0, an earlier version of the PMF model released by US EPA was also applied for source apportionment of VOCs measured at Mohali and studied as a part of the thesis work. But, because of various technical and scientific improvements offered in </w:t>
      </w:r>
      <w:r w:rsidRPr="00CD742E">
        <w:rPr>
          <w:rFonts w:ascii="Times New Roman" w:hAnsi="Times New Roman" w:cs="Times New Roman"/>
          <w:bCs/>
          <w:sz w:val="24"/>
          <w:szCs w:val="24"/>
        </w:rPr>
        <w:lastRenderedPageBreak/>
        <w:t>US EPA PMF v5.0, the thesis documents detailed results from the latest version only. With respect to the technicalities involved and improvement status, PMF v3.0 relative to PMF v5.0 lacked the following components:</w:t>
      </w:r>
    </w:p>
    <w:p w14:paraId="3BAC9707" w14:textId="77777777" w:rsidR="009C3F4A" w:rsidRPr="00CD742E" w:rsidRDefault="009C3F4A" w:rsidP="00CD742E">
      <w:pPr>
        <w:numPr>
          <w:ilvl w:val="0"/>
          <w:numId w:val="4"/>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Advanced error estimation methods.</w:t>
      </w:r>
    </w:p>
    <w:p w14:paraId="672AB3E5" w14:textId="77777777" w:rsidR="009C3F4A" w:rsidRPr="00CD742E" w:rsidRDefault="009C3F4A" w:rsidP="00CD742E">
      <w:pPr>
        <w:numPr>
          <w:ilvl w:val="0"/>
          <w:numId w:val="4"/>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Constraints feature on factor contributions and factor profiles.</w:t>
      </w:r>
    </w:p>
    <w:p w14:paraId="6C44358D"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With incorporation of above mentioned in US EPA PMF v5.0, the scope of controlling rotational ambiguity and random errors associated with the particular factor solution increased multiple times. It became far more easier to separate and improve factors based on their unique tracer specie or registering their periods of activity/ inactivity using the constraints mechanism. All these developments in PMF v5.0 resulted in better model results synchronous with the real world data of emission source profiles. Other than that, the model implementation procedure remained similar and is mentioned in the next section.</w:t>
      </w:r>
    </w:p>
    <w:p w14:paraId="6B352E17"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Both US EPA PMF v3.0 and US EPA PMF v5.0 share the following common protocol for model’s implementation:</w:t>
      </w:r>
    </w:p>
    <w:p w14:paraId="72360F28" w14:textId="77777777" w:rsidR="009C3F4A" w:rsidRPr="00CD742E" w:rsidRDefault="009C3F4A" w:rsidP="00CD742E">
      <w:pPr>
        <w:numPr>
          <w:ilvl w:val="0"/>
          <w:numId w:val="5"/>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Preparation of input data: concentration file and uncertainty file (sample specific/equation based).</w:t>
      </w:r>
    </w:p>
    <w:p w14:paraId="1EF05377" w14:textId="77777777" w:rsidR="009C3F4A" w:rsidRPr="00CD742E" w:rsidRDefault="009C3F4A" w:rsidP="00CD742E">
      <w:pPr>
        <w:numPr>
          <w:ilvl w:val="0"/>
          <w:numId w:val="5"/>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Determining and optimising various parameters for the model run.</w:t>
      </w:r>
    </w:p>
    <w:p w14:paraId="04BEBF4C" w14:textId="77777777" w:rsidR="009C3F4A" w:rsidRPr="00CD742E" w:rsidRDefault="009C3F4A" w:rsidP="00CD742E">
      <w:pPr>
        <w:numPr>
          <w:ilvl w:val="0"/>
          <w:numId w:val="5"/>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Running the PMF program (base runs followed by constrained runs).</w:t>
      </w:r>
    </w:p>
    <w:p w14:paraId="24BD6987" w14:textId="77777777" w:rsidR="009C3F4A" w:rsidRPr="00CD742E" w:rsidRDefault="009C3F4A" w:rsidP="00CD742E">
      <w:pPr>
        <w:numPr>
          <w:ilvl w:val="0"/>
          <w:numId w:val="5"/>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Examination of the model fit along with uncertainties.</w:t>
      </w:r>
    </w:p>
    <w:p w14:paraId="11862C40" w14:textId="77777777" w:rsidR="009C3F4A" w:rsidRDefault="009C3F4A" w:rsidP="00CD742E">
      <w:pPr>
        <w:numPr>
          <w:ilvl w:val="0"/>
          <w:numId w:val="5"/>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Final and most important is solution interpretation and further analysis backed up by concrete validation procedures.</w:t>
      </w:r>
    </w:p>
    <w:p w14:paraId="067BE823" w14:textId="44D5A1C2" w:rsidR="009C3F4A" w:rsidRPr="00CD742E" w:rsidRDefault="005C5D18" w:rsidP="00CD742E">
      <w:pPr>
        <w:spacing w:line="360" w:lineRule="auto"/>
        <w:jc w:val="both"/>
        <w:rPr>
          <w:rFonts w:ascii="Times New Roman" w:hAnsi="Times New Roman" w:cs="Times New Roman"/>
          <w:bCs/>
          <w:sz w:val="24"/>
          <w:szCs w:val="24"/>
        </w:rPr>
      </w:pPr>
      <w:r w:rsidRPr="005C5D18">
        <w:rPr>
          <w:rFonts w:ascii="Times New Roman" w:hAnsi="Times New Roman" w:cs="Times New Roman"/>
          <w:b/>
          <w:sz w:val="24"/>
          <w:szCs w:val="24"/>
        </w:rPr>
        <w:t>Challenges:</w:t>
      </w:r>
      <w:r>
        <w:rPr>
          <w:rFonts w:ascii="Times New Roman" w:hAnsi="Times New Roman" w:cs="Times New Roman"/>
          <w:bCs/>
          <w:sz w:val="24"/>
          <w:szCs w:val="24"/>
        </w:rPr>
        <w:t xml:space="preserve"> </w:t>
      </w:r>
      <w:r w:rsidR="009C3F4A" w:rsidRPr="00CD742E">
        <w:rPr>
          <w:rFonts w:ascii="Times New Roman" w:hAnsi="Times New Roman" w:cs="Times New Roman"/>
          <w:bCs/>
          <w:sz w:val="24"/>
          <w:szCs w:val="24"/>
        </w:rPr>
        <w:t xml:space="preserve">Extraction of completely independent factor profiles out of any of the source apportionment models is a major challenge that needs to be dealt carefully and for that matter PMF is also unable to clearly separate sources that covariate in time. To solve this limitation of mixed factor profile outputs from PMF, in view of getting mutually exclusive sources; PMF resolved factor profiles were compared with the measured experimental (point) source profiles revealing majority of VOC species, obtained in Mohali and its nearby surrounding regions. Additionally, the prior knowledge about the source composition and source contribution also facilitated the consistent execution of the constrained PMF v5.0 model operation for further refinement of the solution. In the constrained mode of operation, factor contributions and factor profiles are to be pulled </w:t>
      </w:r>
      <w:r w:rsidR="009C3F4A" w:rsidRPr="00CD742E">
        <w:rPr>
          <w:rFonts w:ascii="Times New Roman" w:hAnsi="Times New Roman" w:cs="Times New Roman"/>
          <w:bCs/>
          <w:sz w:val="24"/>
          <w:szCs w:val="24"/>
        </w:rPr>
        <w:lastRenderedPageBreak/>
        <w:t>up or pulled down based on the source signature species and known temporal variability information about the sources to improve the representation of the source factors and achieve a more robust solution.</w:t>
      </w:r>
    </w:p>
    <w:p w14:paraId="5A85461A"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Keeping in view all the possible shortcomings of PMF model simulations, the following was attempted in the present course of study for more definitive source interpretation:</w:t>
      </w:r>
    </w:p>
    <w:p w14:paraId="45DF46E9" w14:textId="77777777" w:rsidR="009C3F4A" w:rsidRPr="00CD742E" w:rsidRDefault="009C3F4A" w:rsidP="00CD742E">
      <w:pPr>
        <w:numPr>
          <w:ilvl w:val="0"/>
          <w:numId w:val="6"/>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PMF model factor profile outputs were validated against real world measured experimental source profiles thereby increasing the practical application of the current set of results in aiding the policy makers and government to devise appropriate framework of rules and regulations with regard to traffic emissions, industrial emissions, agricultural waste burning and other scrap burning. This intends to not only help for preparation of emission reduction strategies for sources but will also assist to prioritize with respect to specific pollutant in a particular source.</w:t>
      </w:r>
    </w:p>
    <w:p w14:paraId="21B02EF7" w14:textId="77777777" w:rsidR="009C3F4A" w:rsidRPr="00CD742E" w:rsidRDefault="009C3F4A" w:rsidP="00CD742E">
      <w:pPr>
        <w:numPr>
          <w:ilvl w:val="0"/>
          <w:numId w:val="6"/>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PMF output data of factor contributions was paired up with meteorological data to come up with actual potential locations of various source emission categories with respect to the receptor site using conditional probability functions.</w:t>
      </w:r>
    </w:p>
    <w:p w14:paraId="7F0676CB" w14:textId="77777777" w:rsidR="009C3F4A" w:rsidRPr="00CD742E" w:rsidRDefault="009C3F4A" w:rsidP="00CD742E">
      <w:pPr>
        <w:numPr>
          <w:ilvl w:val="0"/>
          <w:numId w:val="6"/>
        </w:numPr>
        <w:spacing w:after="0" w:line="360" w:lineRule="auto"/>
        <w:contextualSpacing/>
        <w:jc w:val="both"/>
        <w:rPr>
          <w:rFonts w:ascii="Times New Roman" w:eastAsia="Times New Roman" w:hAnsi="Times New Roman" w:cs="Times New Roman"/>
          <w:bCs/>
          <w:sz w:val="24"/>
          <w:szCs w:val="24"/>
        </w:rPr>
      </w:pPr>
      <w:r w:rsidRPr="00CD742E">
        <w:rPr>
          <w:rFonts w:ascii="Times New Roman" w:eastAsia="Times New Roman" w:hAnsi="Times New Roman" w:cs="Times New Roman"/>
          <w:bCs/>
          <w:sz w:val="24"/>
          <w:szCs w:val="24"/>
        </w:rPr>
        <w:t xml:space="preserve">Another level of confirmation of matching the PMF derived factors to the existent pollution sources was achieved by examining correlations of PMF source contributions to various independent tracers including criteria air pollutant species (Carbon monoxide, Sulphur dioxide, </w:t>
      </w:r>
      <w:r w:rsidRPr="00CD742E">
        <w:rPr>
          <w:rFonts w:ascii="Times New Roman" w:eastAsia="Times New Roman" w:hAnsi="Times New Roman" w:cs="Times New Roman"/>
          <w:bCs/>
          <w:sz w:val="24"/>
          <w:szCs w:val="24"/>
          <w:lang w:val="en-US"/>
        </w:rPr>
        <w:t>Nitrogen oxides and Ozone) and MODIS (Moderate Resolution Imaging Spectroradiometer) fire counts.</w:t>
      </w:r>
    </w:p>
    <w:p w14:paraId="36084B5F"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All of the aforementioned analyses when applied in conjunction with PMF model results rendered greater confidence in identification, segregation and accurate quantification of physically plausible emission sources. For further smoothening of the process of source attribution/ interpretation of model results, simultaneous and joint application of different source apportionment tools (CMB, PCA, PMF, UNMIX) is also recommended.</w:t>
      </w:r>
    </w:p>
    <w:p w14:paraId="77405EA4" w14:textId="0092A716" w:rsidR="009C3F4A" w:rsidRPr="00CD742E" w:rsidRDefault="009C3F4A" w:rsidP="00CD742E">
      <w:pPr>
        <w:keepNext/>
        <w:keepLines/>
        <w:spacing w:before="40" w:after="0" w:line="360" w:lineRule="auto"/>
        <w:jc w:val="both"/>
        <w:outlineLvl w:val="1"/>
        <w:rPr>
          <w:rFonts w:ascii="Times New Roman" w:eastAsiaTheme="majorEastAsia" w:hAnsi="Times New Roman" w:cs="Times New Roman"/>
          <w:b/>
          <w:sz w:val="24"/>
          <w:szCs w:val="24"/>
        </w:rPr>
      </w:pPr>
      <w:bookmarkStart w:id="20" w:name="_Toc146809838"/>
      <w:r w:rsidRPr="00CD742E">
        <w:rPr>
          <w:rFonts w:ascii="Times New Roman" w:eastAsiaTheme="majorEastAsia" w:hAnsi="Times New Roman" w:cs="Times New Roman"/>
          <w:b/>
          <w:sz w:val="24"/>
          <w:szCs w:val="24"/>
        </w:rPr>
        <w:t>2.</w:t>
      </w:r>
      <w:r w:rsidR="004571C8">
        <w:rPr>
          <w:rFonts w:ascii="Times New Roman" w:eastAsiaTheme="majorEastAsia" w:hAnsi="Times New Roman" w:cs="Times New Roman"/>
          <w:b/>
          <w:sz w:val="24"/>
          <w:szCs w:val="24"/>
        </w:rPr>
        <w:t>3</w:t>
      </w:r>
      <w:r w:rsidRPr="00CD742E">
        <w:rPr>
          <w:rFonts w:ascii="Times New Roman" w:eastAsiaTheme="majorEastAsia" w:hAnsi="Times New Roman" w:cs="Times New Roman"/>
          <w:b/>
          <w:sz w:val="24"/>
          <w:szCs w:val="24"/>
        </w:rPr>
        <w:tab/>
        <w:t>Quantification of criteria air pollutants and meteorological parameters</w:t>
      </w:r>
      <w:bookmarkEnd w:id="20"/>
      <w:r w:rsidRPr="00CD742E">
        <w:rPr>
          <w:rFonts w:ascii="Times New Roman" w:eastAsiaTheme="majorEastAsia" w:hAnsi="Times New Roman" w:cs="Times New Roman"/>
          <w:b/>
          <w:sz w:val="24"/>
          <w:szCs w:val="24"/>
        </w:rPr>
        <w:t xml:space="preserve"> </w:t>
      </w:r>
    </w:p>
    <w:p w14:paraId="509C4D21" w14:textId="69E0486D"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Other trace gases including carbon monoxide, sulphur dioxide, ozone, nitrogen oxides (CO, SO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O</w:t>
      </w:r>
      <w:r w:rsidRPr="00CD742E">
        <w:rPr>
          <w:rFonts w:ascii="Times New Roman" w:hAnsi="Times New Roman" w:cs="Times New Roman"/>
          <w:bCs/>
          <w:sz w:val="24"/>
          <w:szCs w:val="24"/>
          <w:vertAlign w:val="subscript"/>
        </w:rPr>
        <w:t>3</w:t>
      </w:r>
      <w:r w:rsidRPr="00CD742E">
        <w:rPr>
          <w:rFonts w:ascii="Times New Roman" w:hAnsi="Times New Roman" w:cs="Times New Roman"/>
          <w:bCs/>
          <w:sz w:val="24"/>
          <w:szCs w:val="24"/>
        </w:rPr>
        <w:t>, NO</w:t>
      </w:r>
      <w:r w:rsidRPr="00CD742E">
        <w:rPr>
          <w:rFonts w:ascii="Times New Roman" w:hAnsi="Times New Roman" w:cs="Times New Roman"/>
          <w:bCs/>
          <w:sz w:val="24"/>
          <w:szCs w:val="24"/>
          <w:vertAlign w:val="subscript"/>
        </w:rPr>
        <w:t>x</w:t>
      </w:r>
      <w:r w:rsidRPr="00CD742E">
        <w:rPr>
          <w:rFonts w:ascii="Times New Roman" w:hAnsi="Times New Roman" w:cs="Times New Roman"/>
          <w:bCs/>
          <w:sz w:val="24"/>
          <w:szCs w:val="24"/>
        </w:rPr>
        <w:t>)</w:t>
      </w:r>
      <w:r w:rsidRPr="00CD742E">
        <w:rPr>
          <w:rFonts w:ascii="Times New Roman" w:hAnsi="Times New Roman" w:cs="Times New Roman"/>
          <w:bCs/>
          <w:sz w:val="24"/>
          <w:szCs w:val="24"/>
          <w:vertAlign w:val="subscript"/>
        </w:rPr>
        <w:t xml:space="preserve"> </w:t>
      </w:r>
      <w:r w:rsidRPr="00CD742E">
        <w:rPr>
          <w:rFonts w:ascii="Times New Roman" w:hAnsi="Times New Roman" w:cs="Times New Roman"/>
          <w:bCs/>
          <w:sz w:val="24"/>
          <w:szCs w:val="24"/>
        </w:rPr>
        <w:t>are measured online at this site. There is an Air Quality Station functioning at this site that measures the concentration levels of criteria air pollutants (PM</w:t>
      </w:r>
      <w:r w:rsidRPr="00CD742E">
        <w:rPr>
          <w:rFonts w:ascii="Times New Roman" w:hAnsi="Times New Roman" w:cs="Times New Roman"/>
          <w:bCs/>
          <w:sz w:val="24"/>
          <w:szCs w:val="24"/>
          <w:vertAlign w:val="subscript"/>
        </w:rPr>
        <w:t>10</w:t>
      </w:r>
      <w:r w:rsidRPr="00CD742E">
        <w:rPr>
          <w:rFonts w:ascii="Times New Roman" w:hAnsi="Times New Roman" w:cs="Times New Roman"/>
          <w:bCs/>
          <w:sz w:val="24"/>
          <w:szCs w:val="24"/>
        </w:rPr>
        <w:t>, PM</w:t>
      </w:r>
      <w:r w:rsidRPr="00CD742E">
        <w:rPr>
          <w:rFonts w:ascii="Times New Roman" w:hAnsi="Times New Roman" w:cs="Times New Roman"/>
          <w:bCs/>
          <w:sz w:val="24"/>
          <w:szCs w:val="24"/>
          <w:vertAlign w:val="subscript"/>
        </w:rPr>
        <w:t>2.5</w:t>
      </w:r>
      <w:r w:rsidRPr="00CD742E">
        <w:rPr>
          <w:rFonts w:ascii="Times New Roman" w:hAnsi="Times New Roman" w:cs="Times New Roman"/>
          <w:bCs/>
          <w:sz w:val="24"/>
          <w:szCs w:val="24"/>
        </w:rPr>
        <w:t>, CO, SO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O</w:t>
      </w:r>
      <w:r w:rsidRPr="00CD742E">
        <w:rPr>
          <w:rFonts w:ascii="Times New Roman" w:hAnsi="Times New Roman" w:cs="Times New Roman"/>
          <w:bCs/>
          <w:sz w:val="24"/>
          <w:szCs w:val="24"/>
          <w:vertAlign w:val="subscript"/>
        </w:rPr>
        <w:t>3</w:t>
      </w:r>
      <w:r w:rsidRPr="00CD742E">
        <w:rPr>
          <w:rFonts w:ascii="Times New Roman" w:hAnsi="Times New Roman" w:cs="Times New Roman"/>
          <w:bCs/>
          <w:sz w:val="24"/>
          <w:szCs w:val="24"/>
        </w:rPr>
        <w:t>, NO</w:t>
      </w:r>
      <w:r w:rsidRPr="00CD742E">
        <w:rPr>
          <w:rFonts w:ascii="Times New Roman" w:hAnsi="Times New Roman" w:cs="Times New Roman"/>
          <w:bCs/>
          <w:sz w:val="24"/>
          <w:szCs w:val="24"/>
          <w:vertAlign w:val="subscript"/>
        </w:rPr>
        <w:t>x</w:t>
      </w:r>
      <w:r w:rsidRPr="00CD742E">
        <w:rPr>
          <w:rFonts w:ascii="Times New Roman" w:hAnsi="Times New Roman" w:cs="Times New Roman"/>
          <w:bCs/>
          <w:sz w:val="24"/>
          <w:szCs w:val="24"/>
        </w:rPr>
        <w:t xml:space="preserve">) every minute. A brief description of working of the Thermo Fischer Scientific Analysers installed at the Air Quality Station is given below. </w:t>
      </w:r>
    </w:p>
    <w:p w14:paraId="1747CF52"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lastRenderedPageBreak/>
        <w:t>Carbon monoxide (CO) is measured with the gas filter correlation (GFC) non-dispersive infra-red (NDIR) technique using a Thermo Fischer Scientific 48i trace level enhanced analyser. It works on the principle of characteristic infra-red radiation absorption by CO at wavelength of 4.6 microns. In this setup, gas filter wheel alternates between CO and N</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xml:space="preserve"> receiving infra-red radiation. The infra-red radiation is emitted by Cu resistance wire at high temperature. The CO gas filter produces a reference beam which cannot be further attenuated by CO in the air sample. The N</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xml:space="preserve"> gas filter is inert and hence produces a measurement beam, which can be absorbed by CO in the sample. The concentration value of the measurement beam minus the reference beam is used to determine the ambient CO levels. This then outputs the CO concentration levels.</w:t>
      </w:r>
    </w:p>
    <w:p w14:paraId="38E93895"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Sulphurdioxide (SO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measurements are performed with pulsed UV fluorescence technique using a Thermo Fischer Scientific 43i trace level enhanced analyser. This involves excitation of SO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xml:space="preserve"> at 214 nm (absorption maxima) by UV lamp (Zn), after which it fluoresces back to lower energy states with 350nm as the emission maxima. The intensity of the fluorescence recorded in the entire process reflects ambient SO</w:t>
      </w:r>
      <w:r w:rsidRPr="00CD742E">
        <w:rPr>
          <w:rFonts w:ascii="Times New Roman" w:hAnsi="Times New Roman" w:cs="Times New Roman"/>
          <w:bCs/>
          <w:sz w:val="24"/>
          <w:szCs w:val="24"/>
          <w:vertAlign w:val="subscript"/>
        </w:rPr>
        <w:t xml:space="preserve">2 </w:t>
      </w:r>
      <w:r w:rsidRPr="00CD742E">
        <w:rPr>
          <w:rFonts w:ascii="Times New Roman" w:hAnsi="Times New Roman" w:cs="Times New Roman"/>
          <w:bCs/>
          <w:sz w:val="24"/>
          <w:szCs w:val="24"/>
        </w:rPr>
        <w:t>concentration levels.</w:t>
      </w:r>
    </w:p>
    <w:p w14:paraId="662C8405"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Ozone (O</w:t>
      </w:r>
      <w:r w:rsidRPr="00CD742E">
        <w:rPr>
          <w:rFonts w:ascii="Times New Roman" w:hAnsi="Times New Roman" w:cs="Times New Roman"/>
          <w:bCs/>
          <w:sz w:val="24"/>
          <w:szCs w:val="24"/>
          <w:vertAlign w:val="subscript"/>
        </w:rPr>
        <w:t>3</w:t>
      </w:r>
      <w:r w:rsidRPr="00CD742E">
        <w:rPr>
          <w:rFonts w:ascii="Times New Roman" w:hAnsi="Times New Roman" w:cs="Times New Roman"/>
          <w:bCs/>
          <w:sz w:val="24"/>
          <w:szCs w:val="24"/>
        </w:rPr>
        <w:t>) is measured by a UV photometric Thermo Fischer Scientific 49i analyser. Ozone (O</w:t>
      </w:r>
      <w:r w:rsidRPr="00CD742E">
        <w:rPr>
          <w:rFonts w:ascii="Times New Roman" w:hAnsi="Times New Roman" w:cs="Times New Roman"/>
          <w:bCs/>
          <w:sz w:val="24"/>
          <w:szCs w:val="24"/>
          <w:vertAlign w:val="subscript"/>
        </w:rPr>
        <w:t>3</w:t>
      </w:r>
      <w:r w:rsidRPr="00CD742E">
        <w:rPr>
          <w:rFonts w:ascii="Times New Roman" w:hAnsi="Times New Roman" w:cs="Times New Roman"/>
          <w:bCs/>
          <w:sz w:val="24"/>
          <w:szCs w:val="24"/>
        </w:rPr>
        <w:t>) molecules absorbs UV radiation at an absorption maxima of 254nm. Hg lamp used as a UV source and ozone concentrations are described by Lambert-Beer Law here. Construction wise, the instrument constitutes two cells; one fitted with O</w:t>
      </w:r>
      <w:r w:rsidRPr="00CD742E">
        <w:rPr>
          <w:rFonts w:ascii="Times New Roman" w:hAnsi="Times New Roman" w:cs="Times New Roman"/>
          <w:bCs/>
          <w:sz w:val="24"/>
          <w:szCs w:val="24"/>
          <w:vertAlign w:val="subscript"/>
        </w:rPr>
        <w:t xml:space="preserve">3 </w:t>
      </w:r>
      <w:r w:rsidRPr="00CD742E">
        <w:rPr>
          <w:rFonts w:ascii="Times New Roman" w:hAnsi="Times New Roman" w:cs="Times New Roman"/>
          <w:bCs/>
          <w:sz w:val="24"/>
          <w:szCs w:val="24"/>
        </w:rPr>
        <w:t>scrubber that produces reference gas and other one sample gas, which produces measurement beam. O</w:t>
      </w:r>
      <w:r w:rsidRPr="00CD742E">
        <w:rPr>
          <w:rFonts w:ascii="Times New Roman" w:hAnsi="Times New Roman" w:cs="Times New Roman"/>
          <w:bCs/>
          <w:sz w:val="24"/>
          <w:szCs w:val="24"/>
          <w:vertAlign w:val="subscript"/>
        </w:rPr>
        <w:t xml:space="preserve">3 </w:t>
      </w:r>
      <w:r w:rsidRPr="00CD742E">
        <w:rPr>
          <w:rFonts w:ascii="Times New Roman" w:hAnsi="Times New Roman" w:cs="Times New Roman"/>
          <w:bCs/>
          <w:sz w:val="24"/>
          <w:szCs w:val="24"/>
        </w:rPr>
        <w:t>scrubber is chemically composed of MnO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The difference in intensities observed between the two cells corresponds to the ozone signals.</w:t>
      </w:r>
    </w:p>
    <w:p w14:paraId="54D19021" w14:textId="77777777" w:rsidR="009C3F4A" w:rsidRPr="00CD742E" w:rsidRDefault="009C3F4A" w:rsidP="00CD742E">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NO</w:t>
      </w:r>
      <w:r w:rsidRPr="00CD742E">
        <w:rPr>
          <w:rFonts w:ascii="Times New Roman" w:hAnsi="Times New Roman" w:cs="Times New Roman"/>
          <w:bCs/>
          <w:sz w:val="24"/>
          <w:szCs w:val="24"/>
          <w:vertAlign w:val="subscript"/>
        </w:rPr>
        <w:t>x</w:t>
      </w:r>
      <w:r w:rsidRPr="00CD742E">
        <w:rPr>
          <w:rFonts w:ascii="Times New Roman" w:hAnsi="Times New Roman" w:cs="Times New Roman"/>
          <w:bCs/>
          <w:sz w:val="24"/>
          <w:szCs w:val="24"/>
        </w:rPr>
        <w:t xml:space="preserve"> (NO and NO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values are quantified using Thermo Fischer Scientific 42i trace level analyser based on the principle of chemiluminescence where luminescence is detected with the reaction of NO and O</w:t>
      </w:r>
      <w:r w:rsidRPr="00CD742E">
        <w:rPr>
          <w:rFonts w:ascii="Times New Roman" w:hAnsi="Times New Roman" w:cs="Times New Roman"/>
          <w:bCs/>
          <w:sz w:val="24"/>
          <w:szCs w:val="24"/>
          <w:vertAlign w:val="subscript"/>
        </w:rPr>
        <w:t>3</w:t>
      </w:r>
      <w:r w:rsidRPr="00CD742E">
        <w:rPr>
          <w:rFonts w:ascii="Times New Roman" w:hAnsi="Times New Roman" w:cs="Times New Roman"/>
          <w:bCs/>
          <w:sz w:val="24"/>
          <w:szCs w:val="24"/>
        </w:rPr>
        <w:t xml:space="preserve"> in between the wavelength of 600-3000 nm. The characteristic luminescence has intensity linearly proportional to the concentration of NO that was converted to NO</w:t>
      </w:r>
      <w:r w:rsidRPr="00CD742E">
        <w:rPr>
          <w:rFonts w:ascii="Times New Roman" w:hAnsi="Times New Roman" w:cs="Times New Roman"/>
          <w:bCs/>
          <w:sz w:val="24"/>
          <w:szCs w:val="24"/>
          <w:vertAlign w:val="subscript"/>
        </w:rPr>
        <w:t>2</w:t>
      </w:r>
      <w:r w:rsidRPr="00CD742E">
        <w:rPr>
          <w:rFonts w:ascii="Times New Roman" w:hAnsi="Times New Roman" w:cs="Times New Roman"/>
          <w:bCs/>
          <w:sz w:val="24"/>
          <w:szCs w:val="24"/>
        </w:rPr>
        <w:t xml:space="preserve"> by the reaction. </w:t>
      </w:r>
    </w:p>
    <w:p w14:paraId="67848D32" w14:textId="29A90550" w:rsidR="009C3F4A" w:rsidRPr="00A06C20" w:rsidRDefault="009D496B" w:rsidP="008B7C9C">
      <w:pPr>
        <w:spacing w:line="360" w:lineRule="auto"/>
        <w:jc w:val="both"/>
        <w:rPr>
          <w:rFonts w:ascii="Times New Roman" w:hAnsi="Times New Roman" w:cs="Times New Roman"/>
          <w:bCs/>
          <w:sz w:val="24"/>
          <w:szCs w:val="24"/>
        </w:rPr>
      </w:pPr>
      <w:r w:rsidRPr="00CD742E">
        <w:rPr>
          <w:rFonts w:ascii="Times New Roman" w:hAnsi="Times New Roman" w:cs="Times New Roman"/>
          <w:bCs/>
          <w:sz w:val="24"/>
          <w:szCs w:val="24"/>
        </w:rPr>
        <w:t xml:space="preserve">Meteorological station (Met One Instruments Inc., Rowlett, USA) is installed exactly above the IISER-Mohali air quality station. It has sensors located at about 20m above ground level for quantification of various meteorological parameters like wind speed, wind direction, temperature and relative humidity. </w:t>
      </w:r>
      <w:bookmarkEnd w:id="15"/>
    </w:p>
    <w:p w14:paraId="00EE36CD" w14:textId="15BCA4FA" w:rsidR="001141FC" w:rsidRPr="00F26949" w:rsidRDefault="00645C48" w:rsidP="008B7C9C">
      <w:pPr>
        <w:pStyle w:val="Heading1"/>
        <w:spacing w:line="360" w:lineRule="auto"/>
        <w:jc w:val="both"/>
        <w:rPr>
          <w:rFonts w:ascii="Times New Roman" w:hAnsi="Times New Roman" w:cs="Times New Roman"/>
          <w:color w:val="auto"/>
          <w:sz w:val="56"/>
          <w:szCs w:val="56"/>
        </w:rPr>
      </w:pPr>
      <w:bookmarkStart w:id="21" w:name="_Toc146809839"/>
      <w:r w:rsidRPr="00F26949">
        <w:rPr>
          <w:rFonts w:ascii="Times New Roman" w:hAnsi="Times New Roman" w:cs="Times New Roman"/>
          <w:color w:val="auto"/>
          <w:sz w:val="56"/>
          <w:szCs w:val="56"/>
        </w:rPr>
        <w:lastRenderedPageBreak/>
        <w:t>Source apportionment of volatile organic compounds in the northwest Indo-Gangetic Plain using a positive matrix factorization model</w:t>
      </w:r>
      <w:r w:rsidR="00FE4F3B">
        <w:rPr>
          <w:rStyle w:val="FootnoteReference"/>
          <w:rFonts w:ascii="Times New Roman" w:hAnsi="Times New Roman" w:cs="Times New Roman"/>
          <w:color w:val="auto"/>
          <w:sz w:val="56"/>
          <w:szCs w:val="56"/>
        </w:rPr>
        <w:footnoteReference w:id="1"/>
      </w:r>
      <w:bookmarkEnd w:id="21"/>
    </w:p>
    <w:p w14:paraId="04B1C3B0" w14:textId="77777777" w:rsidR="00772DB4" w:rsidRPr="00F26949" w:rsidRDefault="00772DB4" w:rsidP="00772DB4"/>
    <w:p w14:paraId="75075C05" w14:textId="45E31807" w:rsidR="00645C48" w:rsidRPr="004B00C3" w:rsidRDefault="00645C48" w:rsidP="004B00C3">
      <w:pPr>
        <w:pStyle w:val="Heading2"/>
        <w:spacing w:line="360" w:lineRule="auto"/>
        <w:jc w:val="both"/>
        <w:rPr>
          <w:rFonts w:ascii="Times New Roman" w:hAnsi="Times New Roman" w:cs="Times New Roman"/>
          <w:b/>
          <w:bCs/>
          <w:color w:val="auto"/>
          <w:sz w:val="24"/>
          <w:szCs w:val="24"/>
        </w:rPr>
      </w:pPr>
      <w:bookmarkStart w:id="22" w:name="_Toc146809840"/>
      <w:r w:rsidRPr="004B00C3">
        <w:rPr>
          <w:rFonts w:ascii="Times New Roman" w:hAnsi="Times New Roman" w:cs="Times New Roman"/>
          <w:b/>
          <w:bCs/>
          <w:color w:val="auto"/>
          <w:sz w:val="24"/>
          <w:szCs w:val="24"/>
        </w:rPr>
        <w:t>Abstract</w:t>
      </w:r>
      <w:bookmarkEnd w:id="22"/>
    </w:p>
    <w:p w14:paraId="0B6EADC4" w14:textId="38553064" w:rsidR="00DE260D" w:rsidRPr="004B00C3" w:rsidRDefault="00F16CA0" w:rsidP="004B00C3">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study I</w:t>
      </w:r>
      <w:r w:rsidR="00645C48" w:rsidRPr="004B00C3">
        <w:rPr>
          <w:rFonts w:ascii="Times New Roman" w:hAnsi="Times New Roman" w:cs="Times New Roman"/>
          <w:sz w:val="24"/>
          <w:szCs w:val="24"/>
        </w:rPr>
        <w:t xml:space="preserve"> undertook quantitative source apportionment for 32 volatile organic compounds (VOCs) measured at a suburban site in the densely populated north-west Indo-Gangetic Plain using the US EPA PMF 5.0 model. Six sources were resolved by the PMF model. In descending order of their contribution to the total VOC burden these are “biofuel use and waste disposal” (23.2%), “wheat-residue</w:t>
      </w:r>
      <w:r w:rsidR="003E4445" w:rsidRPr="004B00C3">
        <w:rPr>
          <w:rFonts w:ascii="Times New Roman" w:hAnsi="Times New Roman" w:cs="Times New Roman"/>
          <w:sz w:val="24"/>
          <w:szCs w:val="24"/>
        </w:rPr>
        <w:t xml:space="preserve"> burning” (</w:t>
      </w:r>
      <w:r w:rsidR="00645C48" w:rsidRPr="004B00C3">
        <w:rPr>
          <w:rFonts w:ascii="Times New Roman" w:hAnsi="Times New Roman" w:cs="Times New Roman"/>
          <w:sz w:val="24"/>
          <w:szCs w:val="24"/>
        </w:rPr>
        <w:t>22.4%), “cars” (16.2%), “mixed daytime sources”</w:t>
      </w:r>
      <w:r w:rsidR="003E4445"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(15.7%)</w:t>
      </w:r>
      <w:r w:rsidR="003E4445" w:rsidRPr="004B00C3">
        <w:rPr>
          <w:rFonts w:ascii="Times New Roman" w:hAnsi="Times New Roman" w:cs="Times New Roman"/>
          <w:sz w:val="24"/>
          <w:szCs w:val="24"/>
        </w:rPr>
        <w:t>,</w:t>
      </w:r>
      <w:r w:rsidR="00645C48" w:rsidRPr="004B00C3">
        <w:rPr>
          <w:rFonts w:ascii="Times New Roman" w:hAnsi="Times New Roman" w:cs="Times New Roman"/>
          <w:sz w:val="24"/>
          <w:szCs w:val="24"/>
        </w:rPr>
        <w:t xml:space="preserve"> “industrial emissions and solvent use”</w:t>
      </w:r>
      <w:r w:rsidR="003E4445"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 xml:space="preserve">(11.8%), and “two-wheelers” (8.6%). </w:t>
      </w:r>
    </w:p>
    <w:p w14:paraId="4D6F92CC" w14:textId="55C9A00A"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Wheat-residue burning is the largest contributor to the total ozone formation potential (32.4%). For the emerging contaminant isocyanic acid, photochemical formation from pre</w:t>
      </w:r>
      <w:r w:rsidR="00DE260D" w:rsidRPr="004B00C3">
        <w:rPr>
          <w:rFonts w:ascii="Times New Roman" w:hAnsi="Times New Roman" w:cs="Times New Roman"/>
          <w:sz w:val="24"/>
          <w:szCs w:val="24"/>
        </w:rPr>
        <w:t>cursors (37%)</w:t>
      </w:r>
      <w:r w:rsidR="00BF5D6C" w:rsidRPr="004B00C3">
        <w:rPr>
          <w:rFonts w:ascii="Times New Roman" w:hAnsi="Times New Roman" w:cs="Times New Roman"/>
          <w:sz w:val="24"/>
          <w:szCs w:val="24"/>
        </w:rPr>
        <w:t xml:space="preserve"> and wheat-residue burning (25%) were the largest contributors to human exposure. </w:t>
      </w:r>
      <w:r w:rsidR="00DE260D" w:rsidRPr="004B00C3">
        <w:rPr>
          <w:rFonts w:ascii="Times New Roman" w:hAnsi="Times New Roman" w:cs="Times New Roman"/>
          <w:sz w:val="24"/>
          <w:szCs w:val="24"/>
        </w:rPr>
        <w:t>Wheat-residue bur</w:t>
      </w:r>
      <w:r w:rsidR="00BF5D6C" w:rsidRPr="004B00C3">
        <w:rPr>
          <w:rFonts w:ascii="Times New Roman" w:hAnsi="Times New Roman" w:cs="Times New Roman"/>
          <w:sz w:val="24"/>
          <w:szCs w:val="24"/>
        </w:rPr>
        <w:t>n</w:t>
      </w:r>
      <w:r w:rsidR="00DE260D" w:rsidRPr="004B00C3">
        <w:rPr>
          <w:rFonts w:ascii="Times New Roman" w:hAnsi="Times New Roman" w:cs="Times New Roman"/>
          <w:sz w:val="24"/>
          <w:szCs w:val="24"/>
        </w:rPr>
        <w:t>ing was also the single largest source of the photochemical</w:t>
      </w:r>
      <w:r w:rsidR="00BF5D6C" w:rsidRPr="004B00C3">
        <w:rPr>
          <w:rFonts w:ascii="Times New Roman" w:hAnsi="Times New Roman" w:cs="Times New Roman"/>
          <w:sz w:val="24"/>
          <w:szCs w:val="24"/>
        </w:rPr>
        <w:t xml:space="preserve"> </w:t>
      </w:r>
      <w:r w:rsidR="00DE260D" w:rsidRPr="004B00C3">
        <w:rPr>
          <w:rFonts w:ascii="Times New Roman" w:hAnsi="Times New Roman" w:cs="Times New Roman"/>
          <w:sz w:val="24"/>
          <w:szCs w:val="24"/>
        </w:rPr>
        <w:t>precursors of isocyanic acid, namely, formamide, acetamide and propanamide, indicating that this source must be most urgently targeted to reduce human concentration exposure to isocyanic acid in the month of May. Our results highlight that for accurate air quality forecasting and modeling</w:t>
      </w:r>
      <w:r w:rsidR="002735DA" w:rsidRPr="004B00C3">
        <w:rPr>
          <w:rFonts w:ascii="Times New Roman" w:hAnsi="Times New Roman" w:cs="Times New Roman"/>
          <w:sz w:val="24"/>
          <w:szCs w:val="24"/>
        </w:rPr>
        <w:t>,</w:t>
      </w:r>
      <w:r w:rsidR="00DE260D" w:rsidRPr="004B00C3">
        <w:rPr>
          <w:rFonts w:ascii="Times New Roman" w:hAnsi="Times New Roman" w:cs="Times New Roman"/>
          <w:sz w:val="24"/>
          <w:szCs w:val="24"/>
        </w:rPr>
        <w:t xml:space="preserve"> it is essential that emissions are attributed only to the months in which the activity actually occurs. This is important for emissions from crop residue burning, which occur in May and from mid-October to the end of November.</w:t>
      </w:r>
      <w:r w:rsidRPr="004B00C3">
        <w:rPr>
          <w:rFonts w:ascii="Times New Roman" w:hAnsi="Times New Roman" w:cs="Times New Roman"/>
          <w:sz w:val="24"/>
          <w:szCs w:val="24"/>
        </w:rPr>
        <w:t xml:space="preserve"> </w:t>
      </w:r>
    </w:p>
    <w:p w14:paraId="4311E400" w14:textId="21A01D1D" w:rsidR="00645C48" w:rsidRPr="004B00C3" w:rsidRDefault="00BB5F60"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The SOA formation potential is dominated by cars (36.9%) and two-wheelers (21.1%), which also jointly account for 47% of the human class I carcinogen benzene in the PMF model. This stands in stark contrast to various emission inventories which estimate only a minor contribution of</w:t>
      </w:r>
      <w:r w:rsidR="00E36957" w:rsidRPr="004B00C3">
        <w:rPr>
          <w:rFonts w:ascii="Times New Roman" w:hAnsi="Times New Roman" w:cs="Times New Roman"/>
          <w:sz w:val="24"/>
          <w:szCs w:val="24"/>
        </w:rPr>
        <w:t xml:space="preserve"> </w:t>
      </w:r>
      <w:r w:rsidRPr="004B00C3">
        <w:rPr>
          <w:rFonts w:ascii="Times New Roman" w:hAnsi="Times New Roman" w:cs="Times New Roman"/>
          <w:sz w:val="24"/>
          <w:szCs w:val="24"/>
        </w:rPr>
        <w:t>the transport sector to the benzene exposure (</w:t>
      </w:r>
      <w:r w:rsidRPr="004B00C3">
        <w:rPr>
          <w:rFonts w:ascii="Cambria Math" w:hAnsi="Cambria Math" w:cs="Cambria Math"/>
          <w:sz w:val="24"/>
          <w:szCs w:val="24"/>
        </w:rPr>
        <w:t>∼</w:t>
      </w:r>
      <w:r w:rsidRPr="004B00C3">
        <w:rPr>
          <w:rFonts w:ascii="Times New Roman" w:hAnsi="Times New Roman" w:cs="Times New Roman"/>
          <w:sz w:val="24"/>
          <w:szCs w:val="24"/>
        </w:rPr>
        <w:t>10%) and</w:t>
      </w:r>
      <w:r w:rsidR="00E36957"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 xml:space="preserve">consider residential biofuel use, agricultural residue burning and industry to be more important benzene sources. </w:t>
      </w:r>
      <w:r w:rsidR="00A81612" w:rsidRPr="004B00C3">
        <w:rPr>
          <w:rFonts w:ascii="Times New Roman" w:hAnsi="Times New Roman" w:cs="Times New Roman"/>
          <w:sz w:val="24"/>
          <w:szCs w:val="24"/>
        </w:rPr>
        <w:t>Overall,</w:t>
      </w:r>
      <w:r w:rsidR="00645C48" w:rsidRPr="004B00C3">
        <w:rPr>
          <w:rFonts w:ascii="Times New Roman" w:hAnsi="Times New Roman" w:cs="Times New Roman"/>
          <w:sz w:val="24"/>
          <w:szCs w:val="24"/>
        </w:rPr>
        <w:t xml:space="preserve"> it appears that none of the emission inventories represent the regional emissions in an ideal manner. Our PMF solution suggests that transport sector emissions may be under</w:t>
      </w:r>
      <w:r w:rsidR="00A81612" w:rsidRPr="004B00C3">
        <w:rPr>
          <w:rFonts w:ascii="Times New Roman" w:hAnsi="Times New Roman" w:cs="Times New Roman"/>
          <w:sz w:val="24"/>
          <w:szCs w:val="24"/>
        </w:rPr>
        <w:t>-</w:t>
      </w:r>
      <w:r w:rsidR="00645C48" w:rsidRPr="004B00C3">
        <w:rPr>
          <w:rFonts w:ascii="Times New Roman" w:hAnsi="Times New Roman" w:cs="Times New Roman"/>
          <w:sz w:val="24"/>
          <w:szCs w:val="24"/>
        </w:rPr>
        <w:t>estimated by GAINSv5.0 and EDGARv4.3.2 and over-estimated by REASv2.1, while the combined effect of res</w:t>
      </w:r>
      <w:r w:rsidR="00EB7901" w:rsidRPr="004B00C3">
        <w:rPr>
          <w:rFonts w:ascii="Times New Roman" w:hAnsi="Times New Roman" w:cs="Times New Roman"/>
          <w:sz w:val="24"/>
          <w:szCs w:val="24"/>
        </w:rPr>
        <w:t>i</w:t>
      </w:r>
      <w:r w:rsidR="00645C48" w:rsidRPr="004B00C3">
        <w:rPr>
          <w:rFonts w:ascii="Times New Roman" w:hAnsi="Times New Roman" w:cs="Times New Roman"/>
          <w:sz w:val="24"/>
          <w:szCs w:val="24"/>
        </w:rPr>
        <w:t>dential biofuel use and waste disposal emissions as well as the VOC burden associated with solvent use and industrial sources may be overestimated by all emission inventories. The agricultural waste burning emissions of some of the detected compound groups (ketones, aldehydes and acids) appear to be missing in the EDGARv4.3.2 inventory.</w:t>
      </w:r>
    </w:p>
    <w:p w14:paraId="51C9DEA3" w14:textId="04D581A9" w:rsidR="00645C48" w:rsidRPr="004B00C3" w:rsidRDefault="00645C48" w:rsidP="004B00C3">
      <w:pPr>
        <w:pStyle w:val="Heading2"/>
        <w:spacing w:line="360" w:lineRule="auto"/>
        <w:jc w:val="both"/>
        <w:rPr>
          <w:rFonts w:ascii="Times New Roman" w:hAnsi="Times New Roman" w:cs="Times New Roman"/>
          <w:b/>
          <w:bCs/>
          <w:color w:val="auto"/>
          <w:sz w:val="24"/>
          <w:szCs w:val="24"/>
        </w:rPr>
      </w:pPr>
      <w:bookmarkStart w:id="23" w:name="_Toc146809841"/>
      <w:r w:rsidRPr="004B00C3">
        <w:rPr>
          <w:rFonts w:ascii="Times New Roman" w:hAnsi="Times New Roman" w:cs="Times New Roman"/>
          <w:b/>
          <w:bCs/>
          <w:color w:val="auto"/>
          <w:sz w:val="24"/>
          <w:szCs w:val="24"/>
        </w:rPr>
        <w:t>Introduction</w:t>
      </w:r>
      <w:bookmarkEnd w:id="23"/>
    </w:p>
    <w:p w14:paraId="2F1A7B45" w14:textId="603DE5FD" w:rsidR="00D40D06"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Volatile organic compounds (VOCs) have diverse natural (760 Tg(C) yr</w:t>
      </w:r>
      <w:r w:rsidR="00223712"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w:t>
      </w:r>
      <w:r w:rsidR="000D7D8D" w:rsidRPr="004B00C3">
        <w:rPr>
          <w:rFonts w:ascii="Times New Roman" w:hAnsi="Times New Roman" w:cs="Times New Roman"/>
          <w:sz w:val="24"/>
          <w:szCs w:val="24"/>
        </w:rPr>
        <w:t>;</w:t>
      </w:r>
      <w:r w:rsidRPr="004B00C3">
        <w:rPr>
          <w:rFonts w:ascii="Times New Roman" w:hAnsi="Times New Roman" w:cs="Times New Roman"/>
          <w:sz w:val="24"/>
          <w:szCs w:val="24"/>
        </w:rPr>
        <w:t xml:space="preserve">Sindelarova et al., 2014) and anthropogenic sources (127 Tg </w:t>
      </w:r>
      <w:r w:rsidR="004E16CA" w:rsidRPr="004B00C3">
        <w:rPr>
          <w:rFonts w:ascii="Times New Roman" w:hAnsi="Times New Roman" w:cs="Times New Roman"/>
          <w:sz w:val="24"/>
          <w:szCs w:val="24"/>
        </w:rPr>
        <w:t>yr</w:t>
      </w:r>
      <w:r w:rsidR="004E16CA"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average value; IPCC, 2013). Certain VOCs emitted primarily by anthropogenic sources, such as benzene and isocyanic acid, have direct adverse impacts on human health even at low ppb concentration exposures (Chandra and Sinha, 2016). In densely populated regions like the Indo-Gangetic Plain (IGP), reactive anthropogenic VOCs contribute significantly to the formation of health-relevant secondary pollutants such as ozone and secondary organic aerosol (Chandra and Sinha, 2016; Sarkar et al., 2016). At our study site, a representative suburban site in the NW IGP, the 8 h average NAAQS (national ambient air quality standard) for ozone of 100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was exceeded on 29 out of 31 d during May 2012 (Sinha et al., 2014), while the 24 h average NAAQS for PM</w:t>
      </w:r>
      <w:r w:rsidR="00823266" w:rsidRPr="004B00C3">
        <w:rPr>
          <w:rFonts w:ascii="Times New Roman" w:hAnsi="Times New Roman" w:cs="Times New Roman"/>
          <w:sz w:val="24"/>
          <w:szCs w:val="24"/>
          <w:vertAlign w:val="subscript"/>
        </w:rPr>
        <w:t>2.5</w:t>
      </w:r>
      <w:r w:rsidRPr="004B00C3">
        <w:rPr>
          <w:rFonts w:ascii="Times New Roman" w:hAnsi="Times New Roman" w:cs="Times New Roman"/>
          <w:sz w:val="24"/>
          <w:szCs w:val="24"/>
        </w:rPr>
        <w:t xml:space="preserve"> of 60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was exceeded during 27 out of 31 d in the same period. It has been shown that wheat-residue burning results in significant enhancement (by 19 ppb) of the daytime ozone mixing ratios in pre-monsoon season (Kumar et al., 2016) and long-range transport in the form of dust storms from the Arabian Peninsula brings extremely high PM</w:t>
      </w:r>
      <w:r w:rsidR="00823266" w:rsidRPr="004B00C3">
        <w:rPr>
          <w:rFonts w:ascii="Times New Roman" w:hAnsi="Times New Roman" w:cs="Times New Roman"/>
          <w:sz w:val="24"/>
          <w:szCs w:val="24"/>
          <w:vertAlign w:val="subscript"/>
        </w:rPr>
        <w:t>2.5</w:t>
      </w:r>
      <w:r w:rsidRPr="004B00C3">
        <w:rPr>
          <w:rFonts w:ascii="Times New Roman" w:hAnsi="Times New Roman" w:cs="Times New Roman"/>
          <w:sz w:val="24"/>
          <w:szCs w:val="24"/>
        </w:rPr>
        <w:t xml:space="preserve"> mass loadings (with peak PM</w:t>
      </w:r>
      <w:r w:rsidR="00823266" w:rsidRPr="004B00C3">
        <w:rPr>
          <w:rFonts w:ascii="Times New Roman" w:hAnsi="Times New Roman" w:cs="Times New Roman"/>
          <w:sz w:val="24"/>
          <w:szCs w:val="24"/>
          <w:vertAlign w:val="subscript"/>
        </w:rPr>
        <w:t>2.5</w:t>
      </w:r>
      <w:r w:rsidR="00823266" w:rsidRPr="004B00C3">
        <w:rPr>
          <w:rFonts w:ascii="Times New Roman" w:hAnsi="Times New Roman" w:cs="Times New Roman"/>
          <w:sz w:val="24"/>
          <w:szCs w:val="24"/>
        </w:rPr>
        <w:t xml:space="preserve"> </w:t>
      </w:r>
      <w:r w:rsidRPr="004B00C3">
        <w:rPr>
          <w:rFonts w:ascii="Times New Roman" w:hAnsi="Times New Roman" w:cs="Times New Roman"/>
          <w:sz w:val="24"/>
          <w:szCs w:val="24"/>
        </w:rPr>
        <w:t>mass loadings of 950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on 17 May 2012) (Sinha et al., 2014;</w:t>
      </w:r>
      <w:r w:rsidR="00D40D06" w:rsidRPr="004B00C3">
        <w:rPr>
          <w:rFonts w:ascii="Times New Roman" w:hAnsi="Times New Roman" w:cs="Times New Roman"/>
          <w:sz w:val="24"/>
          <w:szCs w:val="24"/>
        </w:rPr>
        <w:t xml:space="preserve"> </w:t>
      </w:r>
      <w:r w:rsidRPr="004B00C3">
        <w:rPr>
          <w:rFonts w:ascii="Times New Roman" w:hAnsi="Times New Roman" w:cs="Times New Roman"/>
          <w:sz w:val="24"/>
          <w:szCs w:val="24"/>
        </w:rPr>
        <w:t>Pawar et al., 2015) and enhances the PM</w:t>
      </w:r>
      <w:r w:rsidR="00823266" w:rsidRPr="004B00C3">
        <w:rPr>
          <w:rFonts w:ascii="Times New Roman" w:hAnsi="Times New Roman" w:cs="Times New Roman"/>
          <w:sz w:val="24"/>
          <w:szCs w:val="24"/>
          <w:vertAlign w:val="subscript"/>
        </w:rPr>
        <w:t>2.5</w:t>
      </w:r>
      <w:r w:rsidR="00823266"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mass by </w:t>
      </w:r>
      <w:r w:rsidRPr="004B00C3">
        <w:rPr>
          <w:rFonts w:ascii="Cambria Math" w:hAnsi="Cambria Math" w:cs="Cambria Math"/>
          <w:sz w:val="24"/>
          <w:szCs w:val="24"/>
        </w:rPr>
        <w:t>∼</w:t>
      </w:r>
      <w:r w:rsidRPr="004B00C3">
        <w:rPr>
          <w:rFonts w:ascii="Times New Roman" w:hAnsi="Times New Roman" w:cs="Times New Roman"/>
          <w:sz w:val="24"/>
          <w:szCs w:val="24"/>
        </w:rPr>
        <w:t xml:space="preserve"> 30 %. </w:t>
      </w:r>
    </w:p>
    <w:p w14:paraId="5FA48BEB" w14:textId="7FAC22B0" w:rsidR="003B565D"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However, ozone mixing ratios exceed the NAAQS even</w:t>
      </w:r>
      <w:r w:rsidR="00D40D06" w:rsidRPr="004B00C3">
        <w:rPr>
          <w:rFonts w:ascii="Times New Roman" w:hAnsi="Times New Roman" w:cs="Times New Roman"/>
          <w:sz w:val="24"/>
          <w:szCs w:val="24"/>
        </w:rPr>
        <w:t xml:space="preserve"> </w:t>
      </w:r>
      <w:r w:rsidRPr="004B00C3">
        <w:rPr>
          <w:rFonts w:ascii="Times New Roman" w:hAnsi="Times New Roman" w:cs="Times New Roman"/>
          <w:sz w:val="24"/>
          <w:szCs w:val="24"/>
        </w:rPr>
        <w:t>during the non-fire-influenced days of the pre-monsoon season, and the NAAQS for PM</w:t>
      </w:r>
      <w:r w:rsidR="00503D54" w:rsidRPr="004B00C3">
        <w:rPr>
          <w:rFonts w:ascii="Times New Roman" w:hAnsi="Times New Roman" w:cs="Times New Roman"/>
          <w:sz w:val="24"/>
          <w:szCs w:val="24"/>
          <w:vertAlign w:val="subscript"/>
        </w:rPr>
        <w:t>2.5</w:t>
      </w:r>
      <w:r w:rsidRPr="004B00C3">
        <w:rPr>
          <w:rFonts w:ascii="Times New Roman" w:hAnsi="Times New Roman" w:cs="Times New Roman"/>
          <w:sz w:val="24"/>
          <w:szCs w:val="24"/>
        </w:rPr>
        <w:t xml:space="preserve"> is exceeded 60 % of the time </w:t>
      </w:r>
      <w:r w:rsidRPr="004B00C3">
        <w:rPr>
          <w:rFonts w:ascii="Times New Roman" w:hAnsi="Times New Roman" w:cs="Times New Roman"/>
          <w:sz w:val="24"/>
          <w:szCs w:val="24"/>
        </w:rPr>
        <w:lastRenderedPageBreak/>
        <w:t>for air masses with no history of long-range transport (Kumar et al., 2016; Pawar et al., 2015). This indicates that local ozone and PM</w:t>
      </w:r>
      <w:r w:rsidR="00503D54" w:rsidRPr="004B00C3">
        <w:rPr>
          <w:rFonts w:ascii="Times New Roman" w:hAnsi="Times New Roman" w:cs="Times New Roman"/>
          <w:sz w:val="24"/>
          <w:szCs w:val="24"/>
          <w:vertAlign w:val="subscript"/>
        </w:rPr>
        <w:t>2.5</w:t>
      </w:r>
      <w:r w:rsidR="00503D54" w:rsidRPr="004B00C3">
        <w:rPr>
          <w:rFonts w:ascii="Times New Roman" w:hAnsi="Times New Roman" w:cs="Times New Roman"/>
          <w:sz w:val="24"/>
          <w:szCs w:val="24"/>
        </w:rPr>
        <w:t xml:space="preserve"> </w:t>
      </w:r>
      <w:r w:rsidRPr="004B00C3">
        <w:rPr>
          <w:rFonts w:ascii="Times New Roman" w:hAnsi="Times New Roman" w:cs="Times New Roman"/>
          <w:sz w:val="24"/>
          <w:szCs w:val="24"/>
        </w:rPr>
        <w:t>precursor emissions deserve further study.</w:t>
      </w:r>
    </w:p>
    <w:p w14:paraId="665EBDBC" w14:textId="66176072"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Previous source receptor modeling studies of VOC emission from India (Srivastava, 2004; Srivastava et al., 2005; </w:t>
      </w:r>
      <w:r w:rsidR="003B3359" w:rsidRPr="004B00C3">
        <w:rPr>
          <w:rFonts w:ascii="Times New Roman" w:hAnsi="Times New Roman" w:cs="Times New Roman"/>
          <w:sz w:val="24"/>
          <w:szCs w:val="24"/>
        </w:rPr>
        <w:t>Majumdar et</w:t>
      </w:r>
      <w:r w:rsidRPr="004B00C3">
        <w:rPr>
          <w:rFonts w:ascii="Times New Roman" w:hAnsi="Times New Roman" w:cs="Times New Roman"/>
          <w:sz w:val="24"/>
          <w:szCs w:val="24"/>
        </w:rPr>
        <w:t xml:space="preserve"> al., 2009) produced </w:t>
      </w:r>
      <w:r w:rsidR="003B3359" w:rsidRPr="004B00C3">
        <w:rPr>
          <w:rFonts w:ascii="Times New Roman" w:hAnsi="Times New Roman" w:cs="Times New Roman"/>
          <w:sz w:val="24"/>
          <w:szCs w:val="24"/>
        </w:rPr>
        <w:t>results that conflicted</w:t>
      </w:r>
      <w:r w:rsidRPr="004B00C3">
        <w:rPr>
          <w:rFonts w:ascii="Times New Roman" w:hAnsi="Times New Roman" w:cs="Times New Roman"/>
          <w:sz w:val="24"/>
          <w:szCs w:val="24"/>
        </w:rPr>
        <w:t xml:space="preserve"> strongly with the bottom-up emission inventories, all of which contain significant emissions from residential fuel usage even when filtered for the New Delhi National Capital Region (41 %–45 %), Greater Mumbai (32 %–36 %) and Greater Kolkata (33 %–59 %). Transport sector emissions, according to the bottom-up emission inventories contribute only 15 %–35 %, 17 %–43 % and 6 %–14 % to the total VOC emissions in New Delhi National Capital Region, Greater </w:t>
      </w:r>
      <w:r w:rsidR="00FC1D44" w:rsidRPr="004B00C3">
        <w:rPr>
          <w:rFonts w:ascii="Times New Roman" w:hAnsi="Times New Roman" w:cs="Times New Roman"/>
          <w:sz w:val="24"/>
          <w:szCs w:val="24"/>
        </w:rPr>
        <w:t>Mumbai and Greater Kolkata, respectively</w:t>
      </w:r>
      <w:r w:rsidRPr="004B00C3">
        <w:rPr>
          <w:rFonts w:ascii="Times New Roman" w:hAnsi="Times New Roman" w:cs="Times New Roman"/>
          <w:sz w:val="24"/>
          <w:szCs w:val="24"/>
        </w:rPr>
        <w:t>.</w:t>
      </w:r>
      <w:r w:rsidR="00FC1D44" w:rsidRPr="004B00C3">
        <w:rPr>
          <w:rFonts w:ascii="Times New Roman" w:hAnsi="Times New Roman" w:cs="Times New Roman"/>
          <w:sz w:val="24"/>
          <w:szCs w:val="24"/>
        </w:rPr>
        <w:t xml:space="preserve"> All previous</w:t>
      </w:r>
      <w:r w:rsidRPr="004B00C3">
        <w:rPr>
          <w:rFonts w:ascii="Times New Roman" w:hAnsi="Times New Roman" w:cs="Times New Roman"/>
          <w:sz w:val="24"/>
          <w:szCs w:val="24"/>
        </w:rPr>
        <w:t xml:space="preserve"> studies employed a chemical mass balance (CMB) technique for ambient VOC source attribution and identified the transport sector as the main source in the form of evaporative emissions (40 %–87 %) in Mumbai (Srivastava, 2004), diesel internal combustion engines (26 %–58 %) in Delhi (Srivastava et al., 2005) and roadway/refuelling exhaust (40 %) in Kolkata city (Majumdar et al., 2009). Except for the study performed in Kolkata which found a contribution of &lt; 10 % from wood combustion, residential fuel usage was not identified as a potential VOC source in those source receptor modeling studies. The observed discrepancy could be partially caused by the fact that a CMB is not necessarily an ideal tool for conducting source receptor modeling studies in understudied environments, as the model needs to be initialized with locally measured source profiles of all potentially significant sources. However, it is unlikely that this is the only reason for the discrepancies between source receptor modeling outcomes and emission inventories. The only other source receptor modeling study in South Asia was conducted using a positive matrix factorization model (EPA PMF5.0) with data collected in the Kathmandu valley, Nepal, as part of the SUSKAT campaign and attributed a negligible fraction of the anthropogenic VOC burden to residential biofuel usage (14 %). </w:t>
      </w:r>
      <w:r w:rsidR="004F7CB9" w:rsidRPr="004B00C3">
        <w:rPr>
          <w:rFonts w:ascii="Times New Roman" w:hAnsi="Times New Roman" w:cs="Times New Roman"/>
          <w:sz w:val="24"/>
          <w:szCs w:val="24"/>
        </w:rPr>
        <w:t>Instead,</w:t>
      </w:r>
      <w:r w:rsidRPr="004B00C3">
        <w:rPr>
          <w:rFonts w:ascii="Times New Roman" w:hAnsi="Times New Roman" w:cs="Times New Roman"/>
          <w:sz w:val="24"/>
          <w:szCs w:val="24"/>
        </w:rPr>
        <w:t xml:space="preserve"> different industrial sources including brick kilns (jointly 52 %) and the transport sector (21 %)</w:t>
      </w:r>
      <w:r w:rsidR="004F7CB9" w:rsidRPr="004B00C3">
        <w:rPr>
          <w:rFonts w:ascii="Times New Roman" w:hAnsi="Times New Roman" w:cs="Times New Roman"/>
          <w:sz w:val="24"/>
          <w:szCs w:val="24"/>
        </w:rPr>
        <w:t xml:space="preserve"> </w:t>
      </w:r>
      <w:r w:rsidRPr="004B00C3">
        <w:rPr>
          <w:rFonts w:ascii="Times New Roman" w:hAnsi="Times New Roman" w:cs="Times New Roman"/>
          <w:sz w:val="24"/>
          <w:szCs w:val="24"/>
        </w:rPr>
        <w:t>were identified as the dominant VOC sources in the Kathmandu valley.</w:t>
      </w:r>
    </w:p>
    <w:p w14:paraId="66A00E2D" w14:textId="58F113EE"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Different bottom-up emission inventories have large discrepancies between each other when extracted </w:t>
      </w:r>
      <w:r w:rsidR="00CD02DC" w:rsidRPr="004B00C3">
        <w:rPr>
          <w:rFonts w:ascii="Times New Roman" w:hAnsi="Times New Roman" w:cs="Times New Roman"/>
          <w:sz w:val="24"/>
          <w:szCs w:val="24"/>
        </w:rPr>
        <w:t>for the</w:t>
      </w:r>
      <w:r w:rsidRPr="004B00C3">
        <w:rPr>
          <w:rFonts w:ascii="Times New Roman" w:hAnsi="Times New Roman" w:cs="Times New Roman"/>
          <w:sz w:val="24"/>
          <w:szCs w:val="24"/>
        </w:rPr>
        <w:t xml:space="preserve"> NW IGP. For our study region (27.4–34.9</w:t>
      </w:r>
      <w:r w:rsidR="00F565C5" w:rsidRPr="004B00C3">
        <w:rPr>
          <w:rFonts w:ascii="Times New Roman" w:hAnsi="Times New Roman" w:cs="Times New Roman"/>
          <w:sz w:val="24"/>
          <w:szCs w:val="24"/>
        </w:rPr>
        <w:t xml:space="preserve"> </w:t>
      </w:r>
      <w:r w:rsidR="00F565C5" w:rsidRPr="004B00C3">
        <w:rPr>
          <w:rFonts w:ascii="Times New Roman" w:eastAsia="Yu Gothic UI Light" w:hAnsi="Times New Roman" w:cs="Times New Roman"/>
          <w:sz w:val="24"/>
          <w:szCs w:val="24"/>
        </w:rPr>
        <w:t xml:space="preserve">º </w:t>
      </w:r>
      <w:r w:rsidRPr="004B00C3">
        <w:rPr>
          <w:rFonts w:ascii="Times New Roman" w:hAnsi="Times New Roman" w:cs="Times New Roman"/>
          <w:sz w:val="24"/>
          <w:szCs w:val="24"/>
        </w:rPr>
        <w:t>N, 72–79.8</w:t>
      </w:r>
      <w:r w:rsidR="00F565C5" w:rsidRPr="004B00C3">
        <w:rPr>
          <w:rFonts w:ascii="Times New Roman" w:hAnsi="Times New Roman" w:cs="Times New Roman"/>
          <w:sz w:val="24"/>
          <w:szCs w:val="24"/>
        </w:rPr>
        <w:t xml:space="preserve"> </w:t>
      </w:r>
      <w:r w:rsidR="00F565C5" w:rsidRPr="004B00C3">
        <w:rPr>
          <w:rFonts w:ascii="Times New Roman" w:eastAsia="Yu Gothic UI Light" w:hAnsi="Times New Roman" w:cs="Times New Roman"/>
          <w:sz w:val="24"/>
          <w:szCs w:val="24"/>
        </w:rPr>
        <w:t xml:space="preserve">º </w:t>
      </w:r>
      <w:r w:rsidRPr="004B00C3">
        <w:rPr>
          <w:rFonts w:ascii="Times New Roman" w:hAnsi="Times New Roman" w:cs="Times New Roman"/>
          <w:sz w:val="24"/>
          <w:szCs w:val="24"/>
        </w:rPr>
        <w:t xml:space="preserve">E), EDGARv4.3.2 (Huang et al., 2017) estimates that the road transport sector contributes </w:t>
      </w:r>
      <w:r w:rsidRPr="004B00C3">
        <w:rPr>
          <w:rFonts w:ascii="Times New Roman" w:hAnsi="Times New Roman" w:cs="Times New Roman"/>
          <w:sz w:val="24"/>
          <w:szCs w:val="24"/>
        </w:rPr>
        <w:lastRenderedPageBreak/>
        <w:t xml:space="preserve">only 18 % of the total anthropogenic VOC emissions (440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while REAS v2.1 (Kurokawa et al., 2013) attributes 35.8 % of the total anthropogenic VOC emissions (1227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to this sector. For industrial emissions and solvent use, GAINS (Amann et al., 2011) has the lowest (540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and EDGARv4.3.2 the highest absolute emissions (900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Crop residue burning as a VOC source is missing in REAS but accounted for a 6 % (145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and 7 % (163 Gg </w:t>
      </w:r>
      <w:r w:rsidR="007C33EF" w:rsidRPr="004B00C3">
        <w:rPr>
          <w:rFonts w:ascii="Times New Roman" w:hAnsi="Times New Roman" w:cs="Times New Roman"/>
          <w:sz w:val="24"/>
          <w:szCs w:val="24"/>
        </w:rPr>
        <w:t>yr</w:t>
      </w:r>
      <w:r w:rsidR="007C33EF"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share of the annual VOC emissions in EDGARv4.3.2 and GAINS, respe</w:t>
      </w:r>
      <w:r w:rsidR="00EF68E6" w:rsidRPr="004B00C3">
        <w:rPr>
          <w:rFonts w:ascii="Times New Roman" w:hAnsi="Times New Roman" w:cs="Times New Roman"/>
          <w:sz w:val="24"/>
          <w:szCs w:val="24"/>
        </w:rPr>
        <w:t>c</w:t>
      </w:r>
      <w:r w:rsidRPr="004B00C3">
        <w:rPr>
          <w:rFonts w:ascii="Times New Roman" w:hAnsi="Times New Roman" w:cs="Times New Roman"/>
          <w:sz w:val="24"/>
          <w:szCs w:val="24"/>
        </w:rPr>
        <w:t>tively. Considering the large discrepancies between bottom-up inventories and different source receptor modeling studies, more source receptor modeling studies using robust statistical tools and better tracers for different biomass burning sources are necessary.</w:t>
      </w:r>
    </w:p>
    <w:p w14:paraId="79B557C9" w14:textId="3FDB58DC" w:rsidR="00645C48" w:rsidRPr="004B00C3" w:rsidRDefault="00F16CA0" w:rsidP="004B00C3">
      <w:pPr>
        <w:spacing w:line="360" w:lineRule="auto"/>
        <w:jc w:val="both"/>
        <w:rPr>
          <w:rFonts w:ascii="Times New Roman" w:hAnsi="Times New Roman" w:cs="Times New Roman"/>
          <w:sz w:val="24"/>
          <w:szCs w:val="24"/>
        </w:rPr>
      </w:pPr>
      <w:r>
        <w:rPr>
          <w:rFonts w:ascii="Times New Roman" w:hAnsi="Times New Roman" w:cs="Times New Roman"/>
          <w:sz w:val="24"/>
          <w:szCs w:val="24"/>
        </w:rPr>
        <w:t>In the present study, I</w:t>
      </w:r>
      <w:r w:rsidR="00645C48" w:rsidRPr="004B00C3">
        <w:rPr>
          <w:rFonts w:ascii="Times New Roman" w:hAnsi="Times New Roman" w:cs="Times New Roman"/>
          <w:sz w:val="24"/>
          <w:szCs w:val="24"/>
        </w:rPr>
        <w:t xml:space="preserve"> applied the US EPA’s PMF 5.0 model in constrained mode for source apportionment of 32 VOCs measured at IISER Mohali Atmospheric Chemistry Facility in May 2012 with the objective of quantifying the most important sources of ozone and SOA precursors, the human class I carcinogen benzene, and the emerging contaminant isocyanic acid (Chandra and Sinha, 2016), so that strategies for air pollution mitigation can benefit from quantitative evidence concerning the contribution of major sources. The month of May is of special interest, as it is affected by widespread wheat-residue burning in the </w:t>
      </w:r>
      <w:r>
        <w:rPr>
          <w:rFonts w:ascii="Times New Roman" w:hAnsi="Times New Roman" w:cs="Times New Roman"/>
          <w:sz w:val="24"/>
          <w:szCs w:val="24"/>
        </w:rPr>
        <w:t>NW IGP. In the present study, I</w:t>
      </w:r>
      <w:r w:rsidR="00645C48" w:rsidRPr="004B00C3">
        <w:rPr>
          <w:rFonts w:ascii="Times New Roman" w:hAnsi="Times New Roman" w:cs="Times New Roman"/>
          <w:sz w:val="24"/>
          <w:szCs w:val="24"/>
        </w:rPr>
        <w:t xml:space="preserve"> quantify the contribution of this important area source to the VOC burden at a downwind site. Our analysis includes several rarely reported nitrogen-containing compounds which appear to have strong pyrogenic sources in this particular study region. Compounds such as amines, amides and isocyanic acid are presently not included in global emission inventories and the default atmospheric chemistry mechanisms, despite their potential importance for secondary aeroso</w:t>
      </w:r>
      <w:r>
        <w:rPr>
          <w:rFonts w:ascii="Times New Roman" w:hAnsi="Times New Roman" w:cs="Times New Roman"/>
          <w:sz w:val="24"/>
          <w:szCs w:val="24"/>
        </w:rPr>
        <w:t>l formation and human health. I</w:t>
      </w:r>
      <w:r w:rsidR="00645C48" w:rsidRPr="004B00C3">
        <w:rPr>
          <w:rFonts w:ascii="Times New Roman" w:hAnsi="Times New Roman" w:cs="Times New Roman"/>
          <w:sz w:val="24"/>
          <w:szCs w:val="24"/>
        </w:rPr>
        <w:t xml:space="preserve"> compare our source receptor modeling output with several emission inventories such as REAS v2.1, EDGARv4.3.2 and GAINS v5 to assess which emission inventory is most consistent with the results of our source receptor modeling study that employs in situ observations.</w:t>
      </w:r>
    </w:p>
    <w:p w14:paraId="3763AC25" w14:textId="73060414" w:rsidR="00645C48" w:rsidRPr="004B00C3" w:rsidRDefault="00645C48" w:rsidP="004B00C3">
      <w:pPr>
        <w:pStyle w:val="Heading2"/>
        <w:spacing w:line="360" w:lineRule="auto"/>
        <w:jc w:val="both"/>
        <w:rPr>
          <w:rFonts w:ascii="Times New Roman" w:hAnsi="Times New Roman" w:cs="Times New Roman"/>
          <w:b/>
          <w:bCs/>
          <w:color w:val="auto"/>
          <w:sz w:val="24"/>
          <w:szCs w:val="24"/>
        </w:rPr>
      </w:pPr>
      <w:bookmarkStart w:id="24" w:name="_Toc146809842"/>
      <w:r w:rsidRPr="004B00C3">
        <w:rPr>
          <w:rFonts w:ascii="Times New Roman" w:hAnsi="Times New Roman" w:cs="Times New Roman"/>
          <w:b/>
          <w:bCs/>
          <w:color w:val="auto"/>
          <w:sz w:val="24"/>
          <w:szCs w:val="24"/>
        </w:rPr>
        <w:t>Methods</w:t>
      </w:r>
      <w:bookmarkEnd w:id="24"/>
    </w:p>
    <w:p w14:paraId="12BA7C10" w14:textId="7E89EAD0" w:rsidR="00645C48" w:rsidRPr="004B00C3" w:rsidRDefault="00645C48" w:rsidP="004B00C3">
      <w:pPr>
        <w:pStyle w:val="Heading3"/>
        <w:spacing w:line="360" w:lineRule="auto"/>
        <w:jc w:val="both"/>
        <w:rPr>
          <w:rFonts w:ascii="Times New Roman" w:hAnsi="Times New Roman" w:cs="Times New Roman"/>
          <w:b/>
          <w:bCs/>
          <w:color w:val="auto"/>
        </w:rPr>
      </w:pPr>
      <w:bookmarkStart w:id="25" w:name="_Toc146809843"/>
      <w:r w:rsidRPr="004B00C3">
        <w:rPr>
          <w:rFonts w:ascii="Times New Roman" w:hAnsi="Times New Roman" w:cs="Times New Roman"/>
          <w:b/>
          <w:bCs/>
          <w:color w:val="auto"/>
        </w:rPr>
        <w:t>Receptor site</w:t>
      </w:r>
      <w:bookmarkEnd w:id="25"/>
    </w:p>
    <w:p w14:paraId="456A48C4" w14:textId="51D6327D" w:rsidR="00104CC7"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measurement facility is situated inside the Indian Institute of Science Education and Research Mohali (IISER M</w:t>
      </w:r>
      <w:r w:rsidR="00377AD3" w:rsidRPr="004B00C3">
        <w:rPr>
          <w:rFonts w:ascii="Times New Roman" w:hAnsi="Times New Roman" w:cs="Times New Roman"/>
          <w:sz w:val="24"/>
          <w:szCs w:val="24"/>
        </w:rPr>
        <w:t>o</w:t>
      </w:r>
      <w:r w:rsidRPr="004B00C3">
        <w:rPr>
          <w:rFonts w:ascii="Times New Roman" w:hAnsi="Times New Roman" w:cs="Times New Roman"/>
          <w:sz w:val="24"/>
          <w:szCs w:val="24"/>
        </w:rPr>
        <w:t xml:space="preserve">hali) campus (Fig. </w:t>
      </w:r>
      <w:r w:rsidR="00615BE2" w:rsidRPr="004B00C3">
        <w:rPr>
          <w:rFonts w:ascii="Times New Roman" w:hAnsi="Times New Roman" w:cs="Times New Roman"/>
          <w:sz w:val="24"/>
          <w:szCs w:val="24"/>
        </w:rPr>
        <w:t xml:space="preserve">3.1 </w:t>
      </w:r>
      <w:r w:rsidRPr="004B00C3">
        <w:rPr>
          <w:rFonts w:ascii="Times New Roman" w:hAnsi="Times New Roman" w:cs="Times New Roman"/>
          <w:sz w:val="24"/>
          <w:szCs w:val="24"/>
        </w:rPr>
        <w:t xml:space="preserve">a), which is a suburban site (30.667 </w:t>
      </w:r>
      <w:r w:rsidR="00615BE2" w:rsidRPr="004B00C3">
        <w:rPr>
          <w:rFonts w:ascii="Times New Roman" w:eastAsia="Yu Gothic UI Light" w:hAnsi="Times New Roman" w:cs="Times New Roman"/>
          <w:sz w:val="24"/>
          <w:szCs w:val="24"/>
        </w:rPr>
        <w:t>º</w:t>
      </w:r>
      <w:r w:rsidR="00615BE2" w:rsidRPr="004B00C3">
        <w:rPr>
          <w:rFonts w:ascii="Times New Roman" w:hAnsi="Times New Roman" w:cs="Times New Roman"/>
          <w:sz w:val="24"/>
          <w:szCs w:val="24"/>
        </w:rPr>
        <w:t xml:space="preserve"> </w:t>
      </w:r>
      <w:r w:rsidRPr="004B00C3">
        <w:rPr>
          <w:rFonts w:ascii="Times New Roman" w:hAnsi="Times New Roman" w:cs="Times New Roman"/>
          <w:sz w:val="24"/>
          <w:szCs w:val="24"/>
        </w:rPr>
        <w:t>N,</w:t>
      </w:r>
      <w:r w:rsidR="00BB7F31" w:rsidRPr="004B00C3">
        <w:rPr>
          <w:rFonts w:ascii="Times New Roman" w:hAnsi="Times New Roman" w:cs="Times New Roman"/>
          <w:sz w:val="24"/>
          <w:szCs w:val="24"/>
        </w:rPr>
        <w:t xml:space="preserve"> </w:t>
      </w:r>
      <w:r w:rsidR="00104CC7" w:rsidRPr="004B00C3">
        <w:rPr>
          <w:rFonts w:ascii="Times New Roman" w:hAnsi="Times New Roman" w:cs="Times New Roman"/>
          <w:sz w:val="24"/>
          <w:szCs w:val="24"/>
        </w:rPr>
        <w:t xml:space="preserve">76.729 </w:t>
      </w:r>
      <w:r w:rsidR="00104CC7" w:rsidRPr="004B00C3">
        <w:rPr>
          <w:rFonts w:ascii="Times New Roman" w:eastAsia="Yu Gothic UI Light" w:hAnsi="Times New Roman" w:cs="Times New Roman"/>
          <w:sz w:val="24"/>
          <w:szCs w:val="24"/>
        </w:rPr>
        <w:t>º</w:t>
      </w:r>
      <w:r w:rsidR="00104CC7" w:rsidRPr="004B00C3">
        <w:rPr>
          <w:rFonts w:ascii="Times New Roman" w:hAnsi="Times New Roman" w:cs="Times New Roman"/>
          <w:sz w:val="24"/>
          <w:szCs w:val="24"/>
        </w:rPr>
        <w:t xml:space="preserve"> E, 310 m a.m.s.l) in Mohali near Chandigarh in India (Fig. 3.1 b). Collectively the metropolitan area of Chandigarh– Mohali–Panchkula forms a tri-city with a total </w:t>
      </w:r>
      <w:r w:rsidR="00104CC7" w:rsidRPr="004B00C3">
        <w:rPr>
          <w:rFonts w:ascii="Times New Roman" w:hAnsi="Times New Roman" w:cs="Times New Roman"/>
          <w:sz w:val="24"/>
          <w:szCs w:val="24"/>
        </w:rPr>
        <w:lastRenderedPageBreak/>
        <w:t xml:space="preserve">population of 1 941 118 (Census, 2011). The main air transport toward the site was from the northwest and the period studied was impacted by wheat-residue burning, a dust storm and strong photochemistry (Sinha et al., 2014). Figure </w:t>
      </w:r>
      <w:r w:rsidR="00BB7F31" w:rsidRPr="004B00C3">
        <w:rPr>
          <w:rFonts w:ascii="Times New Roman" w:hAnsi="Times New Roman" w:cs="Times New Roman"/>
          <w:sz w:val="24"/>
          <w:szCs w:val="24"/>
        </w:rPr>
        <w:t>3.</w:t>
      </w:r>
      <w:r w:rsidR="00104CC7" w:rsidRPr="004B00C3">
        <w:rPr>
          <w:rFonts w:ascii="Times New Roman" w:hAnsi="Times New Roman" w:cs="Times New Roman"/>
          <w:sz w:val="24"/>
          <w:szCs w:val="24"/>
        </w:rPr>
        <w:t>1a shows 72 h HYSPLIT back trajectories arriving at the site. With average wind speeds of 5.6 m s</w:t>
      </w:r>
      <w:r w:rsidR="00BB7F31" w:rsidRPr="004B00C3">
        <w:rPr>
          <w:rFonts w:ascii="Times New Roman" w:hAnsi="Times New Roman" w:cs="Times New Roman"/>
          <w:sz w:val="24"/>
          <w:szCs w:val="24"/>
          <w:vertAlign w:val="superscript"/>
        </w:rPr>
        <w:t>-1</w:t>
      </w:r>
      <w:r w:rsidR="00104CC7" w:rsidRPr="004B00C3">
        <w:rPr>
          <w:rFonts w:ascii="Times New Roman" w:hAnsi="Times New Roman" w:cs="Times New Roman"/>
          <w:sz w:val="24"/>
          <w:szCs w:val="24"/>
        </w:rPr>
        <w:t xml:space="preserve"> during the study period (range 1– 20 m s</w:t>
      </w:r>
      <w:r w:rsidR="00BB7F31" w:rsidRPr="004B00C3">
        <w:rPr>
          <w:rFonts w:ascii="Times New Roman" w:hAnsi="Times New Roman" w:cs="Times New Roman"/>
          <w:sz w:val="24"/>
          <w:szCs w:val="24"/>
          <w:vertAlign w:val="superscript"/>
        </w:rPr>
        <w:t>-1</w:t>
      </w:r>
      <w:r w:rsidR="00104CC7" w:rsidRPr="004B00C3">
        <w:rPr>
          <w:rFonts w:ascii="Times New Roman" w:hAnsi="Times New Roman" w:cs="Times New Roman"/>
          <w:sz w:val="24"/>
          <w:szCs w:val="24"/>
        </w:rPr>
        <w:t>) the meteorological conditions were conducive for capturing the contribution of regional emission sources. The measurement site, the meteorology and the primary dataset acquired during May 2012 have been discussed in detail elsewhere (Sinha et al., 2014).</w:t>
      </w:r>
    </w:p>
    <w:p w14:paraId="0441D04E" w14:textId="77777777" w:rsidR="00772DB4" w:rsidRPr="004B00C3" w:rsidRDefault="00772DB4"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4D04BC0B" wp14:editId="5DC71825">
            <wp:extent cx="5416550" cy="1867569"/>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23981" cy="1870131"/>
                    </a:xfrm>
                    <a:prstGeom prst="rect">
                      <a:avLst/>
                    </a:prstGeom>
                  </pic:spPr>
                </pic:pic>
              </a:graphicData>
            </a:graphic>
          </wp:inline>
        </w:drawing>
      </w:r>
    </w:p>
    <w:p w14:paraId="5281F853" w14:textId="20585D35" w:rsidR="00A31966" w:rsidRPr="004B00C3" w:rsidRDefault="003E0353" w:rsidP="00366EB0">
      <w:pPr>
        <w:pStyle w:val="Caption"/>
        <w:spacing w:line="360" w:lineRule="auto"/>
        <w:jc w:val="both"/>
        <w:rPr>
          <w:rFonts w:ascii="Times New Roman" w:hAnsi="Times New Roman" w:cs="Times New Roman"/>
          <w:color w:val="auto"/>
          <w:sz w:val="24"/>
          <w:szCs w:val="24"/>
        </w:rPr>
      </w:pPr>
      <w:bookmarkStart w:id="26" w:name="_Toc133577920"/>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w:t>
      </w:r>
      <w:r w:rsidRPr="004B00C3">
        <w:rPr>
          <w:rFonts w:ascii="Times New Roman" w:hAnsi="Times New Roman" w:cs="Times New Roman"/>
          <w:color w:val="auto"/>
          <w:sz w:val="24"/>
          <w:szCs w:val="24"/>
        </w:rPr>
        <w:fldChar w:fldCharType="end"/>
      </w:r>
      <w:r w:rsidR="00645C48" w:rsidRPr="004B00C3">
        <w:rPr>
          <w:rFonts w:ascii="Times New Roman" w:hAnsi="Times New Roman" w:cs="Times New Roman"/>
          <w:color w:val="auto"/>
          <w:sz w:val="24"/>
          <w:szCs w:val="24"/>
        </w:rPr>
        <w:t xml:space="preserve"> (a) Mohali, located on the Indian Subcontinent, with the overlaid 72 h air mass back trajectories for May 2012 at 09:00 and 23:00 LT (UTC+5:30) (b) Precise location of IISER-Mohali At</w:t>
      </w:r>
      <w:r w:rsidR="00A31966" w:rsidRPr="004B00C3">
        <w:rPr>
          <w:rFonts w:ascii="Times New Roman" w:hAnsi="Times New Roman" w:cs="Times New Roman"/>
          <w:color w:val="auto"/>
          <w:sz w:val="24"/>
          <w:szCs w:val="24"/>
        </w:rPr>
        <w:t xml:space="preserve">mospheric chemistry facility (30.667 </w:t>
      </w:r>
      <w:r w:rsidR="00504E16" w:rsidRPr="004B00C3">
        <w:rPr>
          <w:rFonts w:ascii="Times New Roman" w:eastAsia="Yu Gothic UI Light" w:hAnsi="Times New Roman" w:cs="Times New Roman"/>
          <w:color w:val="auto"/>
          <w:sz w:val="24"/>
          <w:szCs w:val="24"/>
        </w:rPr>
        <w:t>º</w:t>
      </w:r>
      <w:r w:rsidR="00504E16" w:rsidRPr="004B00C3">
        <w:rPr>
          <w:rFonts w:ascii="Times New Roman" w:hAnsi="Times New Roman" w:cs="Times New Roman"/>
          <w:color w:val="auto"/>
          <w:sz w:val="24"/>
          <w:szCs w:val="24"/>
        </w:rPr>
        <w:t xml:space="preserve"> </w:t>
      </w:r>
      <w:r w:rsidR="00A31966" w:rsidRPr="004B00C3">
        <w:rPr>
          <w:rFonts w:ascii="Times New Roman" w:hAnsi="Times New Roman" w:cs="Times New Roman"/>
          <w:color w:val="auto"/>
          <w:sz w:val="24"/>
          <w:szCs w:val="24"/>
        </w:rPr>
        <w:t xml:space="preserve">N, 76.729 </w:t>
      </w:r>
      <w:r w:rsidR="00504E16" w:rsidRPr="004B00C3">
        <w:rPr>
          <w:rFonts w:ascii="Times New Roman" w:eastAsia="Yu Gothic UI Light" w:hAnsi="Times New Roman" w:cs="Times New Roman"/>
          <w:color w:val="auto"/>
          <w:sz w:val="24"/>
          <w:szCs w:val="24"/>
        </w:rPr>
        <w:t>º</w:t>
      </w:r>
      <w:r w:rsidR="00504E16" w:rsidRPr="004B00C3">
        <w:rPr>
          <w:rFonts w:ascii="Times New Roman" w:hAnsi="Times New Roman" w:cs="Times New Roman"/>
          <w:color w:val="auto"/>
          <w:sz w:val="24"/>
          <w:szCs w:val="24"/>
        </w:rPr>
        <w:t xml:space="preserve"> </w:t>
      </w:r>
      <w:r w:rsidR="00A31966" w:rsidRPr="004B00C3">
        <w:rPr>
          <w:rFonts w:ascii="Times New Roman" w:hAnsi="Times New Roman" w:cs="Times New Roman"/>
          <w:color w:val="auto"/>
          <w:sz w:val="24"/>
          <w:szCs w:val="24"/>
        </w:rPr>
        <w:t>E, 310 m above mean sea level, a.m.s.l.) with nearby cities on Google Earth© imagery. The campus of IISER Mohali is outlined in white.</w:t>
      </w:r>
      <w:bookmarkEnd w:id="26"/>
    </w:p>
    <w:p w14:paraId="13DB662B" w14:textId="5F243AD2" w:rsidR="00991036" w:rsidRPr="004B00C3" w:rsidRDefault="00991036" w:rsidP="004B00C3">
      <w:pPr>
        <w:pStyle w:val="Heading3"/>
        <w:spacing w:line="360" w:lineRule="auto"/>
        <w:jc w:val="both"/>
        <w:rPr>
          <w:rFonts w:ascii="Times New Roman" w:hAnsi="Times New Roman" w:cs="Times New Roman"/>
          <w:b/>
          <w:bCs/>
          <w:color w:val="auto"/>
        </w:rPr>
      </w:pPr>
      <w:bookmarkStart w:id="27" w:name="_Toc146809844"/>
      <w:r w:rsidRPr="004B00C3">
        <w:rPr>
          <w:rFonts w:ascii="Times New Roman" w:hAnsi="Times New Roman" w:cs="Times New Roman"/>
          <w:b/>
          <w:bCs/>
          <w:color w:val="auto"/>
        </w:rPr>
        <w:t>VOCs and other auxiliary measurements</w:t>
      </w:r>
      <w:bookmarkEnd w:id="27"/>
    </w:p>
    <w:p w14:paraId="0CCDCB61" w14:textId="41BECE87" w:rsidR="00645C48" w:rsidRPr="004B00C3" w:rsidRDefault="00F16CA0" w:rsidP="004B00C3">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991036" w:rsidRPr="004B00C3">
        <w:rPr>
          <w:rFonts w:ascii="Times New Roman" w:hAnsi="Times New Roman" w:cs="Times New Roman"/>
          <w:sz w:val="24"/>
          <w:szCs w:val="24"/>
        </w:rPr>
        <w:t xml:space="preserve"> used hourly data of 32 measured organic ions which were assigned to volatile organic compounds</w:t>
      </w:r>
      <w:r w:rsidR="00400668" w:rsidRPr="004B00C3">
        <w:rPr>
          <w:rFonts w:ascii="Times New Roman" w:hAnsi="Times New Roman" w:cs="Times New Roman"/>
          <w:sz w:val="24"/>
          <w:szCs w:val="24"/>
        </w:rPr>
        <w:t xml:space="preserve"> (Table 3.1)</w:t>
      </w:r>
      <w:r w:rsidR="00991036" w:rsidRPr="004B00C3">
        <w:rPr>
          <w:rFonts w:ascii="Times New Roman" w:hAnsi="Times New Roman" w:cs="Times New Roman"/>
          <w:sz w:val="24"/>
          <w:szCs w:val="24"/>
        </w:rPr>
        <w:t xml:space="preserve"> based on PTR-TOF-MS studies conducted by our group within the South Asian environment (Sarkar et al., 2016) to initialize the US EPA PMF 5.0 model and employed</w:t>
      </w:r>
      <w:r w:rsidR="00A30C6A"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CO, SO</w:t>
      </w:r>
      <w:r w:rsidR="0021612A" w:rsidRPr="004B00C3">
        <w:rPr>
          <w:rFonts w:ascii="Times New Roman" w:hAnsi="Times New Roman" w:cs="Times New Roman"/>
          <w:sz w:val="24"/>
          <w:szCs w:val="24"/>
          <w:vertAlign w:val="subscript"/>
        </w:rPr>
        <w:t>2</w:t>
      </w:r>
      <w:r w:rsidR="00645C48" w:rsidRPr="004B00C3">
        <w:rPr>
          <w:rFonts w:ascii="Times New Roman" w:hAnsi="Times New Roman" w:cs="Times New Roman"/>
          <w:sz w:val="24"/>
          <w:szCs w:val="24"/>
        </w:rPr>
        <w:t>, O</w:t>
      </w:r>
      <w:r w:rsidR="0021612A" w:rsidRPr="004B00C3">
        <w:rPr>
          <w:rFonts w:ascii="Times New Roman" w:hAnsi="Times New Roman" w:cs="Times New Roman"/>
          <w:sz w:val="24"/>
          <w:szCs w:val="24"/>
          <w:vertAlign w:val="subscript"/>
        </w:rPr>
        <w:t>3</w:t>
      </w:r>
      <w:r w:rsidR="00645C48" w:rsidRPr="004B00C3">
        <w:rPr>
          <w:rFonts w:ascii="Times New Roman" w:hAnsi="Times New Roman" w:cs="Times New Roman"/>
          <w:sz w:val="24"/>
          <w:szCs w:val="24"/>
        </w:rPr>
        <w:t xml:space="preserve"> and NO</w:t>
      </w:r>
      <w:r w:rsidR="0021612A" w:rsidRPr="004B00C3">
        <w:rPr>
          <w:rFonts w:ascii="Times New Roman" w:hAnsi="Times New Roman" w:cs="Times New Roman"/>
          <w:sz w:val="24"/>
          <w:szCs w:val="24"/>
          <w:vertAlign w:val="subscript"/>
        </w:rPr>
        <w:t>y</w:t>
      </w:r>
      <w:r w:rsidR="00645C48" w:rsidRPr="004B00C3">
        <w:rPr>
          <w:rFonts w:ascii="Times New Roman" w:hAnsi="Times New Roman" w:cs="Times New Roman"/>
          <w:sz w:val="24"/>
          <w:szCs w:val="24"/>
        </w:rPr>
        <w:t xml:space="preserve"> as independent tracers to validate the results. As described in greater detail in Sinha et al. (2014), ambient air sampling was performed continuously through a Teflon inlet line protected by an in-line Teflon filter. A high- sensitivity proton transfer reaction quadrupole mass spectrometer (PTR-QMS; HS Model 11-07HS-088, Ionicon Analytik Gesellschaft, Austria) was operated at drift tube pressure of 2.2 mbar, a drift tube temperature of 60 </w:t>
      </w:r>
      <w:r w:rsidR="000925B6" w:rsidRPr="004B00C3">
        <w:rPr>
          <w:rFonts w:ascii="Times New Roman" w:eastAsia="Yu Gothic UI Light" w:hAnsi="Times New Roman" w:cs="Times New Roman"/>
          <w:sz w:val="24"/>
          <w:szCs w:val="24"/>
        </w:rPr>
        <w:t>º</w:t>
      </w:r>
      <w:r w:rsidR="00645C48" w:rsidRPr="004B00C3">
        <w:rPr>
          <w:rFonts w:ascii="Times New Roman" w:hAnsi="Times New Roman" w:cs="Times New Roman"/>
          <w:sz w:val="24"/>
          <w:szCs w:val="24"/>
        </w:rPr>
        <w:t>C and a drift tube voltage of 600 V, which resulted in an operating E/N</w:t>
      </w:r>
      <w:r w:rsidR="000925B6"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 xml:space="preserve">ratio of </w:t>
      </w:r>
      <w:r w:rsidR="00645C48" w:rsidRPr="004B00C3">
        <w:rPr>
          <w:rFonts w:ascii="Cambria Math" w:hAnsi="Cambria Math" w:cs="Cambria Math"/>
          <w:sz w:val="24"/>
          <w:szCs w:val="24"/>
        </w:rPr>
        <w:t>∼</w:t>
      </w:r>
      <w:r w:rsidR="00645C48" w:rsidRPr="004B00C3">
        <w:rPr>
          <w:rFonts w:ascii="Times New Roman" w:hAnsi="Times New Roman" w:cs="Times New Roman"/>
          <w:sz w:val="24"/>
          <w:szCs w:val="24"/>
        </w:rPr>
        <w:t xml:space="preserve"> 135 Td. Carbon monoxide (CO), sulfur dioxide (SO</w:t>
      </w:r>
      <w:r w:rsidR="003457BF" w:rsidRPr="004B00C3">
        <w:rPr>
          <w:rFonts w:ascii="Times New Roman" w:hAnsi="Times New Roman" w:cs="Times New Roman"/>
          <w:sz w:val="24"/>
          <w:szCs w:val="24"/>
          <w:vertAlign w:val="subscript"/>
        </w:rPr>
        <w:t>2</w:t>
      </w:r>
      <w:r w:rsidR="00645C48" w:rsidRPr="004B00C3">
        <w:rPr>
          <w:rFonts w:ascii="Times New Roman" w:hAnsi="Times New Roman" w:cs="Times New Roman"/>
          <w:sz w:val="24"/>
          <w:szCs w:val="24"/>
        </w:rPr>
        <w:t>), ozone (O</w:t>
      </w:r>
      <w:r w:rsidR="003457BF" w:rsidRPr="004B00C3">
        <w:rPr>
          <w:rFonts w:ascii="Times New Roman" w:hAnsi="Times New Roman" w:cs="Times New Roman"/>
          <w:sz w:val="24"/>
          <w:szCs w:val="24"/>
          <w:vertAlign w:val="subscript"/>
        </w:rPr>
        <w:t>3</w:t>
      </w:r>
      <w:r w:rsidR="00645C48" w:rsidRPr="004B00C3">
        <w:rPr>
          <w:rFonts w:ascii="Times New Roman" w:hAnsi="Times New Roman" w:cs="Times New Roman"/>
          <w:sz w:val="24"/>
          <w:szCs w:val="24"/>
        </w:rPr>
        <w:t xml:space="preserve">) and </w:t>
      </w:r>
      <w:r w:rsidR="00917F7C" w:rsidRPr="004B00C3">
        <w:rPr>
          <w:rFonts w:ascii="Times New Roman" w:hAnsi="Times New Roman" w:cs="Times New Roman"/>
          <w:sz w:val="24"/>
          <w:szCs w:val="24"/>
        </w:rPr>
        <w:t>NO</w:t>
      </w:r>
      <w:r w:rsidR="003457BF" w:rsidRPr="004B00C3">
        <w:rPr>
          <w:rFonts w:ascii="Times New Roman" w:hAnsi="Times New Roman" w:cs="Times New Roman"/>
          <w:sz w:val="24"/>
          <w:szCs w:val="24"/>
          <w:vertAlign w:val="subscript"/>
        </w:rPr>
        <w:t>y</w:t>
      </w:r>
      <w:r w:rsidR="00917F7C"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NO, NO</w:t>
      </w:r>
      <w:r w:rsidR="003457BF" w:rsidRPr="004B00C3">
        <w:rPr>
          <w:rFonts w:ascii="Times New Roman" w:hAnsi="Times New Roman" w:cs="Times New Roman"/>
          <w:sz w:val="24"/>
          <w:szCs w:val="24"/>
          <w:vertAlign w:val="subscript"/>
        </w:rPr>
        <w:t>2</w:t>
      </w:r>
      <w:r w:rsidR="00917F7C" w:rsidRPr="004B00C3">
        <w:rPr>
          <w:rFonts w:ascii="Times New Roman" w:hAnsi="Times New Roman" w:cs="Times New Roman"/>
          <w:sz w:val="24"/>
          <w:szCs w:val="24"/>
        </w:rPr>
        <w:t xml:space="preserve"> and</w:t>
      </w:r>
      <w:r w:rsidR="00645C48" w:rsidRPr="004B00C3">
        <w:rPr>
          <w:rFonts w:ascii="Times New Roman" w:hAnsi="Times New Roman" w:cs="Times New Roman"/>
          <w:sz w:val="24"/>
          <w:szCs w:val="24"/>
        </w:rPr>
        <w:t xml:space="preserve"> other nitrogen</w:t>
      </w:r>
      <w:r w:rsidR="000925B6" w:rsidRPr="004B00C3">
        <w:rPr>
          <w:rFonts w:ascii="Times New Roman" w:hAnsi="Times New Roman" w:cs="Times New Roman"/>
          <w:sz w:val="24"/>
          <w:szCs w:val="24"/>
        </w:rPr>
        <w:t xml:space="preserve"> </w:t>
      </w:r>
      <w:r w:rsidR="00645C48" w:rsidRPr="004B00C3">
        <w:rPr>
          <w:rFonts w:ascii="Times New Roman" w:hAnsi="Times New Roman" w:cs="Times New Roman"/>
          <w:sz w:val="24"/>
          <w:szCs w:val="24"/>
        </w:rPr>
        <w:t xml:space="preserve">species converted to NO by a </w:t>
      </w:r>
      <w:r w:rsidR="00645C48" w:rsidRPr="004B00C3">
        <w:rPr>
          <w:rFonts w:ascii="Times New Roman" w:hAnsi="Times New Roman" w:cs="Times New Roman"/>
          <w:sz w:val="24"/>
          <w:szCs w:val="24"/>
        </w:rPr>
        <w:lastRenderedPageBreak/>
        <w:t xml:space="preserve">molybdenum converter such as nitric acid and PAN) were measured using Thermo Fischer Scientific 48i (IR filter </w:t>
      </w:r>
      <w:r w:rsidR="00766DB3" w:rsidRPr="004B00C3">
        <w:rPr>
          <w:rFonts w:ascii="Times New Roman" w:hAnsi="Times New Roman" w:cs="Times New Roman"/>
          <w:sz w:val="24"/>
          <w:szCs w:val="24"/>
        </w:rPr>
        <w:t>correlation-based</w:t>
      </w:r>
      <w:r w:rsidR="00645C48" w:rsidRPr="004B00C3">
        <w:rPr>
          <w:rFonts w:ascii="Times New Roman" w:hAnsi="Times New Roman" w:cs="Times New Roman"/>
          <w:sz w:val="24"/>
          <w:szCs w:val="24"/>
        </w:rPr>
        <w:t xml:space="preserve"> spectroscopy), 43i (pulsed UV fluorescence), 49i (UV absorption photometry) and 42i trace level air quality analyzers (chemiluminescence), respectively.</w:t>
      </w:r>
    </w:p>
    <w:p w14:paraId="74A9DADE" w14:textId="59DC93A5" w:rsidR="00BA6401" w:rsidRPr="004B00C3" w:rsidRDefault="00BC2A0F" w:rsidP="00366EB0">
      <w:pPr>
        <w:pStyle w:val="Caption"/>
        <w:spacing w:line="360" w:lineRule="auto"/>
        <w:jc w:val="both"/>
        <w:rPr>
          <w:rFonts w:ascii="Times New Roman" w:hAnsi="Times New Roman" w:cs="Times New Roman"/>
          <w:color w:val="auto"/>
          <w:sz w:val="24"/>
          <w:szCs w:val="24"/>
        </w:rPr>
      </w:pPr>
      <w:bookmarkStart w:id="28" w:name="_Toc133580157"/>
      <w:r w:rsidRPr="004B00C3">
        <w:rPr>
          <w:rFonts w:ascii="Times New Roman" w:hAnsi="Times New Roman" w:cs="Times New Roman"/>
          <w:color w:val="auto"/>
          <w:sz w:val="24"/>
          <w:szCs w:val="24"/>
        </w:rPr>
        <w:t xml:space="preserve">Table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Table_3.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w:t>
      </w:r>
      <w:r w:rsidRPr="004B00C3">
        <w:rPr>
          <w:rFonts w:ascii="Times New Roman" w:hAnsi="Times New Roman" w:cs="Times New Roman"/>
          <w:color w:val="auto"/>
          <w:sz w:val="24"/>
          <w:szCs w:val="24"/>
        </w:rPr>
        <w:fldChar w:fldCharType="end"/>
      </w:r>
      <w:r w:rsidR="00BA6401" w:rsidRPr="004B00C3">
        <w:rPr>
          <w:rFonts w:ascii="Times New Roman" w:hAnsi="Times New Roman" w:cs="Times New Roman"/>
          <w:color w:val="auto"/>
          <w:sz w:val="24"/>
          <w:szCs w:val="24"/>
        </w:rPr>
        <w:t xml:space="preserve"> For </w:t>
      </w:r>
      <w:r w:rsidR="00BA6401" w:rsidRPr="004B00C3">
        <w:rPr>
          <w:rFonts w:ascii="Times New Roman" w:hAnsi="Times New Roman" w:cs="Times New Roman"/>
          <w:color w:val="auto"/>
          <w:sz w:val="24"/>
          <w:szCs w:val="24"/>
          <w:lang w:val="en-US"/>
        </w:rPr>
        <w:t>each m/z used in PMF model, the table lists the major compound identifications and the references supporting such assignments from previous works along with detection limits and sensitivities.</w:t>
      </w:r>
      <w:bookmarkEnd w:id="28"/>
    </w:p>
    <w:tbl>
      <w:tblPr>
        <w:tblStyle w:val="TableGrid"/>
        <w:tblW w:w="8926" w:type="dxa"/>
        <w:tblLayout w:type="fixed"/>
        <w:tblCellMar>
          <w:left w:w="28" w:type="dxa"/>
          <w:right w:w="28" w:type="dxa"/>
        </w:tblCellMar>
        <w:tblLook w:val="04A0" w:firstRow="1" w:lastRow="0" w:firstColumn="1" w:lastColumn="0" w:noHBand="0" w:noVBand="1"/>
      </w:tblPr>
      <w:tblGrid>
        <w:gridCol w:w="704"/>
        <w:gridCol w:w="1701"/>
        <w:gridCol w:w="1276"/>
        <w:gridCol w:w="1843"/>
        <w:gridCol w:w="1275"/>
        <w:gridCol w:w="1134"/>
        <w:gridCol w:w="993"/>
      </w:tblGrid>
      <w:tr w:rsidR="004B00C3" w:rsidRPr="004B00C3" w14:paraId="572F1290" w14:textId="77777777" w:rsidTr="00B0000C">
        <w:tc>
          <w:tcPr>
            <w:tcW w:w="704" w:type="dxa"/>
            <w:vAlign w:val="center"/>
          </w:tcPr>
          <w:p w14:paraId="333E7055"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Proto-nated mass</w:t>
            </w:r>
          </w:p>
          <w:p w14:paraId="7D68461D"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(m/z)</w:t>
            </w:r>
          </w:p>
        </w:tc>
        <w:tc>
          <w:tcPr>
            <w:tcW w:w="1701" w:type="dxa"/>
            <w:vAlign w:val="center"/>
          </w:tcPr>
          <w:p w14:paraId="2456D38D"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Compound assignment</w:t>
            </w:r>
          </w:p>
          <w:p w14:paraId="31FE9C5E"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(most likely)</w:t>
            </w:r>
          </w:p>
        </w:tc>
        <w:tc>
          <w:tcPr>
            <w:tcW w:w="1276" w:type="dxa"/>
            <w:vAlign w:val="center"/>
          </w:tcPr>
          <w:p w14:paraId="0FC19B51"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Chemical formula</w:t>
            </w:r>
          </w:p>
        </w:tc>
        <w:tc>
          <w:tcPr>
            <w:tcW w:w="1843" w:type="dxa"/>
            <w:vAlign w:val="center"/>
          </w:tcPr>
          <w:p w14:paraId="11702BC0"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References</w:t>
            </w:r>
          </w:p>
        </w:tc>
        <w:tc>
          <w:tcPr>
            <w:tcW w:w="1275" w:type="dxa"/>
            <w:vAlign w:val="center"/>
          </w:tcPr>
          <w:p w14:paraId="174B1681"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Sensitivity (ncps/ppb)</w:t>
            </w:r>
          </w:p>
        </w:tc>
        <w:tc>
          <w:tcPr>
            <w:tcW w:w="1134" w:type="dxa"/>
            <w:vAlign w:val="center"/>
          </w:tcPr>
          <w:p w14:paraId="36AB1DB8"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Detection limit (</w:t>
            </w:r>
            <w:r w:rsidRPr="004B00C3">
              <w:rPr>
                <w:rFonts w:ascii="Times New Roman" w:hAnsi="Times New Roman" w:cs="Times New Roman"/>
                <w:b/>
                <w:sz w:val="24"/>
                <w:szCs w:val="24"/>
                <w:lang w:val="en-GB"/>
              </w:rPr>
              <w:t>µg/m³)</w:t>
            </w:r>
          </w:p>
        </w:tc>
        <w:tc>
          <w:tcPr>
            <w:tcW w:w="993" w:type="dxa"/>
            <w:vAlign w:val="center"/>
          </w:tcPr>
          <w:p w14:paraId="5D9FE0ED"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Average mixing ratio (stddev)</w:t>
            </w:r>
          </w:p>
          <w:p w14:paraId="5984D011" w14:textId="77777777" w:rsidR="00BA6401" w:rsidRPr="004B00C3" w:rsidRDefault="00BA6401" w:rsidP="004B00C3">
            <w:pPr>
              <w:spacing w:line="360" w:lineRule="auto"/>
              <w:jc w:val="both"/>
              <w:rPr>
                <w:rFonts w:ascii="Times New Roman" w:hAnsi="Times New Roman" w:cs="Times New Roman"/>
                <w:b/>
                <w:sz w:val="24"/>
                <w:szCs w:val="24"/>
              </w:rPr>
            </w:pPr>
            <w:r w:rsidRPr="004B00C3">
              <w:rPr>
                <w:rFonts w:ascii="Times New Roman" w:hAnsi="Times New Roman" w:cs="Times New Roman"/>
                <w:b/>
                <w:sz w:val="24"/>
                <w:szCs w:val="24"/>
              </w:rPr>
              <w:t>(</w:t>
            </w:r>
            <w:r w:rsidRPr="004B00C3">
              <w:rPr>
                <w:rFonts w:ascii="Times New Roman" w:hAnsi="Times New Roman" w:cs="Times New Roman"/>
                <w:b/>
                <w:sz w:val="24"/>
                <w:szCs w:val="24"/>
                <w:lang w:val="en-GB"/>
              </w:rPr>
              <w:t>µg/m³)</w:t>
            </w:r>
          </w:p>
        </w:tc>
      </w:tr>
      <w:tr w:rsidR="004B00C3" w:rsidRPr="004B00C3" w14:paraId="27CCDDEA" w14:textId="77777777" w:rsidTr="00B0000C">
        <w:trPr>
          <w:trHeight w:val="388"/>
        </w:trPr>
        <w:tc>
          <w:tcPr>
            <w:tcW w:w="704" w:type="dxa"/>
            <w:vAlign w:val="center"/>
          </w:tcPr>
          <w:p w14:paraId="43E7F7D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31</w:t>
            </w:r>
          </w:p>
        </w:tc>
        <w:tc>
          <w:tcPr>
            <w:tcW w:w="1701" w:type="dxa"/>
            <w:vAlign w:val="center"/>
          </w:tcPr>
          <w:p w14:paraId="351C425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Formaldehyde</w:t>
            </w:r>
          </w:p>
        </w:tc>
        <w:tc>
          <w:tcPr>
            <w:tcW w:w="1276" w:type="dxa"/>
            <w:vAlign w:val="center"/>
          </w:tcPr>
          <w:p w14:paraId="182A86E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HCHO</w:t>
            </w:r>
          </w:p>
        </w:tc>
        <w:tc>
          <w:tcPr>
            <w:tcW w:w="1843" w:type="dxa"/>
            <w:vAlign w:val="center"/>
          </w:tcPr>
          <w:p w14:paraId="32874B8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PEVuZE5vdGU+PENpdGU+PEF1dGhvcj5Kb2Jzb248L0F1dGhvcj48WWVhcj4yMDA1PC9ZZWFyPjxS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PEVuZE5vdGU+PENpdGU+PEF1dGhvcj5Kb2Jzb248L0F1dGhvcj48WWVhcj4yMDA1PC9ZZWFyPjxS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9" w:tooltip="Jobson, 2005 #15" w:history="1">
              <w:r w:rsidRPr="004B00C3">
                <w:rPr>
                  <w:rFonts w:ascii="Times New Roman" w:hAnsi="Times New Roman" w:cs="Times New Roman"/>
                  <w:noProof/>
                  <w:sz w:val="24"/>
                  <w:szCs w:val="24"/>
                </w:rPr>
                <w:t>Jobson et al., 2005</w:t>
              </w:r>
            </w:hyperlink>
            <w:r w:rsidRPr="004B00C3">
              <w:rPr>
                <w:rFonts w:ascii="Times New Roman" w:hAnsi="Times New Roman" w:cs="Times New Roman"/>
                <w:noProof/>
                <w:sz w:val="24"/>
                <w:szCs w:val="24"/>
              </w:rPr>
              <w:t>;</w:t>
            </w:r>
            <w:hyperlink w:anchor="_ENREF_18" w:tooltip="Warneke, 2011 #16" w:history="1">
              <w:r w:rsidRPr="004B00C3">
                <w:rPr>
                  <w:rFonts w:ascii="Times New Roman" w:hAnsi="Times New Roman" w:cs="Times New Roman"/>
                  <w:noProof/>
                  <w:sz w:val="24"/>
                  <w:szCs w:val="24"/>
                </w:rPr>
                <w:t>Warneke et al., 2011</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t xml:space="preserve"> </w:t>
            </w:r>
          </w:p>
        </w:tc>
        <w:tc>
          <w:tcPr>
            <w:tcW w:w="1275" w:type="dxa"/>
            <w:vAlign w:val="center"/>
          </w:tcPr>
          <w:p w14:paraId="0B6A3A1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16.3</w:t>
            </w:r>
          </w:p>
        </w:tc>
        <w:tc>
          <w:tcPr>
            <w:tcW w:w="1134" w:type="dxa"/>
            <w:vAlign w:val="center"/>
          </w:tcPr>
          <w:p w14:paraId="0542497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0.472</w:t>
            </w:r>
          </w:p>
        </w:tc>
        <w:tc>
          <w:tcPr>
            <w:tcW w:w="993" w:type="dxa"/>
            <w:vAlign w:val="center"/>
          </w:tcPr>
          <w:p w14:paraId="5B09F36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3.414 (0.906)</w:t>
            </w:r>
          </w:p>
        </w:tc>
      </w:tr>
      <w:tr w:rsidR="004B00C3" w:rsidRPr="004B00C3" w14:paraId="7981C147" w14:textId="77777777" w:rsidTr="00B0000C">
        <w:tc>
          <w:tcPr>
            <w:tcW w:w="704" w:type="dxa"/>
            <w:vAlign w:val="center"/>
          </w:tcPr>
          <w:p w14:paraId="796A25C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33</w:t>
            </w:r>
          </w:p>
        </w:tc>
        <w:tc>
          <w:tcPr>
            <w:tcW w:w="1701" w:type="dxa"/>
            <w:vAlign w:val="center"/>
          </w:tcPr>
          <w:p w14:paraId="783775D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Methanol</w:t>
            </w:r>
          </w:p>
        </w:tc>
        <w:tc>
          <w:tcPr>
            <w:tcW w:w="1276" w:type="dxa"/>
            <w:vAlign w:val="center"/>
          </w:tcPr>
          <w:p w14:paraId="02AFB3F6"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CH</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OH</w:t>
            </w:r>
          </w:p>
        </w:tc>
        <w:tc>
          <w:tcPr>
            <w:tcW w:w="1843" w:type="dxa"/>
            <w:vAlign w:val="center"/>
          </w:tcPr>
          <w:p w14:paraId="2997A08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&lt;EndNote&gt;&lt;Cite&gt;&lt;Author&gt;Williams&lt;/Author&gt;&lt;Year&gt;2001&lt;/Year&gt;&lt;RecNum&gt;19&lt;/RecNum&gt;&lt;DisplayText&gt;(Williams et al., 2001;de Gouw and Warneke, 2007)&lt;/DisplayText&gt;&lt;record&gt;&lt;rec-number&gt;19&lt;/rec-number&gt;&lt;foreign-keys&gt;&lt;key app="EN" db-id="prs2xedr3axx04epdfs5t2wbraw2vzrp9vxd"&gt;19&lt;/key&gt;&lt;/foreign-keys&gt;&lt;ref-type name="Journal Article"&gt;17&lt;/ref-type&gt;&lt;contributors&gt;&lt;authors&gt;&lt;author&gt;Williams, J&lt;/author&gt;&lt;author&gt;Pöschl, U&lt;/author&gt;&lt;author&gt;Crutzen, PJ&lt;/author&gt;&lt;author&gt;Hansel, A&lt;/author&gt;&lt;author&gt;Holzinger, R&lt;/author&gt;&lt;author&gt;Warneke, C&lt;/author&gt;&lt;author&gt;Lindinger, W&lt;/author&gt;&lt;author&gt;Lelieveld, J&lt;/author&gt;&lt;/authors&gt;&lt;/contributors&gt;&lt;titles&gt;&lt;title&gt;An atmospheric chemistry interpretation of mass scans obtained from a proton transfer mass spectrometer flown over the tropical rainforest of Surinam&lt;/title&gt;&lt;secondary-title&gt;Journal of Atmospheric Chemistry&lt;/secondary-title&gt;&lt;/titles&gt;&lt;periodical&gt;&lt;full-title&gt;Journal of Atmospheric Chemistry&lt;/full-title&gt;&lt;abbr-1&gt;J. Atmos. Chem.&lt;/abbr-1&gt;&lt;/periodical&gt;&lt;pages&gt;133-166&lt;/pages&gt;&lt;volume&gt;38&lt;/volume&gt;&lt;number&gt;2&lt;/number&gt;&lt;dates&gt;&lt;year&gt;2001&lt;/year&gt;&lt;/dates&gt;&lt;isbn&gt;0167-7764&lt;/isbn&gt;&lt;urls&gt;&lt;/urls&gt;&lt;/record&gt;&lt;/Cite&gt;&lt;Cite&gt;&lt;Author&gt;de Gouw&lt;/Author&gt;&lt;Year&gt;2007&lt;/Year&gt;&lt;RecNum&gt;9&lt;/RecNum&gt;&lt;record&gt;&lt;rec-number&gt;9&lt;/rec-number&gt;&lt;foreign-keys&gt;&lt;key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9" w:tooltip="Williams, 2001 #19" w:history="1">
              <w:r w:rsidRPr="004B00C3">
                <w:rPr>
                  <w:rFonts w:ascii="Times New Roman" w:hAnsi="Times New Roman" w:cs="Times New Roman"/>
                  <w:noProof/>
                  <w:sz w:val="24"/>
                  <w:szCs w:val="24"/>
                </w:rPr>
                <w:t>Williams et al., 2001</w:t>
              </w:r>
            </w:hyperlink>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t xml:space="preserve"> </w:t>
            </w:r>
          </w:p>
        </w:tc>
        <w:tc>
          <w:tcPr>
            <w:tcW w:w="1275" w:type="dxa"/>
            <w:vAlign w:val="center"/>
          </w:tcPr>
          <w:p w14:paraId="38F67C2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10.1</w:t>
            </w:r>
          </w:p>
        </w:tc>
        <w:tc>
          <w:tcPr>
            <w:tcW w:w="1134" w:type="dxa"/>
            <w:vAlign w:val="center"/>
          </w:tcPr>
          <w:p w14:paraId="63054FC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0.514</w:t>
            </w:r>
          </w:p>
        </w:tc>
        <w:tc>
          <w:tcPr>
            <w:tcW w:w="993" w:type="dxa"/>
            <w:vAlign w:val="center"/>
          </w:tcPr>
          <w:p w14:paraId="5DD2C2A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37.163 (16.049)</w:t>
            </w:r>
          </w:p>
        </w:tc>
      </w:tr>
      <w:tr w:rsidR="004B00C3" w:rsidRPr="004B00C3" w14:paraId="5DE72E5B" w14:textId="77777777" w:rsidTr="00B0000C">
        <w:tc>
          <w:tcPr>
            <w:tcW w:w="704" w:type="dxa"/>
            <w:vAlign w:val="center"/>
          </w:tcPr>
          <w:p w14:paraId="01E0A76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41</w:t>
            </w:r>
          </w:p>
        </w:tc>
        <w:tc>
          <w:tcPr>
            <w:tcW w:w="1701" w:type="dxa"/>
            <w:vAlign w:val="center"/>
          </w:tcPr>
          <w:p w14:paraId="2281B49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Propyne</w:t>
            </w:r>
          </w:p>
        </w:tc>
        <w:tc>
          <w:tcPr>
            <w:tcW w:w="1276" w:type="dxa"/>
            <w:vAlign w:val="center"/>
          </w:tcPr>
          <w:p w14:paraId="64FAC15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4</w:t>
            </w:r>
          </w:p>
        </w:tc>
        <w:tc>
          <w:tcPr>
            <w:tcW w:w="1843" w:type="dxa"/>
            <w:vAlign w:val="center"/>
          </w:tcPr>
          <w:p w14:paraId="02D8942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&lt;EndNote&gt;&lt;Cite&gt;&lt;Author&gt;Stockwell&lt;/Author&gt;&lt;Year&gt;2015&lt;/Year&gt;&lt;RecNum&gt;13&lt;/RecNum&gt;&lt;DisplayText&gt;(Stockwell et al., 2015;Sarkar et al., 2017)&lt;/DisplayText&gt;&lt;record&gt;&lt;rec-number&gt;13&lt;/rec-number&gt;&lt;foreign-keys&gt;&lt;key app="EN" db-id="prs2xedr3axx04epdfs5t2wbraw2vzrp9vxd"&gt;13&lt;/key&gt;&lt;/foreign-keys&gt;&lt;ref-type name="Journal Article"&gt;17&lt;/ref-type&gt;&lt;contributors&gt;&lt;authors&gt;&lt;author&gt;Stockwell, CE&lt;/author&gt;&lt;author&gt;Veres, PR&lt;/author&gt;&lt;author&gt;Williams, J&lt;/author&gt;&lt;author&gt;Yokelson, RJ&lt;/author&gt;&lt;/authors&gt;&lt;/contributors&gt;&lt;titles&gt;&lt;title&gt;Characterization of biomass burning emissions from cooking fires, peat, crop residue, and other fuels with high-resolution proton-transfer-reaction time-of-flight mass spectrometry&lt;/title&gt;&lt;secondary-title&gt;Atmospheric Chemistry and Physics&lt;/secondary-title&gt;&lt;/titles&gt;&lt;periodical&gt;&lt;full-title&gt;Atmospheric Chemistry and Physics&lt;/full-title&gt;&lt;abbr-1&gt;Atmos. Chem. Phys.&lt;/abbr-1&gt;&lt;/periodical&gt;&lt;pages&gt;845-865&lt;/pages&gt;&lt;volume&gt;15&lt;/volume&gt;&lt;number&gt;2&lt;/number&gt;&lt;dates&gt;&lt;year&gt;2015&lt;/year&gt;&lt;/dates&gt;&lt;isbn&gt;1680-7316&lt;/isbn&gt;&lt;urls&gt;&lt;/urls&gt;&lt;/record&gt;&lt;/Cite&gt;&lt;Cite&gt;&lt;Author&gt;Sarkar&lt;/Author&gt;&lt;Year&gt;2017&lt;/Year&gt;&lt;RecNum&gt;33&lt;/RecNum&gt;&lt;record&gt;&lt;rec-number&gt;33&lt;/rec-number&gt;&lt;foreign-keys&gt;&lt;key app="EN" db-id="afpadsaayerfz2erfv0v5vsotvez5dawvfs0"&gt;33&lt;/key&gt;&lt;/foreign-keys&gt;&lt;ref-type name="Journal Article"&gt;17&lt;/ref-type&gt;&lt;contributors&gt;&lt;authors&gt;&lt;author&gt;Sarkar, Chinmoy&lt;/author&gt;&lt;author&gt;Sinha, Vinayak&lt;/author&gt;&lt;author&gt;Sinha, Baerbel&lt;/author&gt;&lt;author&gt;Panday, Arnico K&lt;/author&gt;&lt;author&gt;Rupakheti, Maheswar&lt;/author&gt;&lt;author&gt;Lawrence, Mark G&lt;/author&gt;&lt;/authors&gt;&lt;/contributors&gt;&lt;titles&gt;&lt;title&gt;Source apportionment of NMVOCs in the Kathmandu Valley during the SusKat-ABC international field campaign using positive matrix factorization&lt;/title&gt;&lt;secondary-title&gt;Atmospheric Chemistry and Physics&lt;/secondary-title&gt;&lt;/titles&gt;&lt;periodical&gt;&lt;full-title&gt;Atmospheric Chemistry and Physics&lt;/full-title&gt;&lt;abbr-1&gt;Atmos. Chem. Phys.&lt;/abbr-1&gt;&lt;/periodical&gt;&lt;pages&gt;8129-8156&lt;/pages&gt;&lt;volume&gt;17&lt;/volume&gt;&lt;number&gt;13&lt;/number&gt;&lt;dates&gt;&lt;year&gt;2017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49B7882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16.5</w:t>
            </w:r>
          </w:p>
        </w:tc>
        <w:tc>
          <w:tcPr>
            <w:tcW w:w="1134" w:type="dxa"/>
            <w:vAlign w:val="center"/>
          </w:tcPr>
          <w:p w14:paraId="20F056E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0.630</w:t>
            </w:r>
          </w:p>
        </w:tc>
        <w:tc>
          <w:tcPr>
            <w:tcW w:w="993" w:type="dxa"/>
            <w:vAlign w:val="center"/>
          </w:tcPr>
          <w:p w14:paraId="3F41E47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3.270 (2.307)</w:t>
            </w:r>
          </w:p>
        </w:tc>
      </w:tr>
      <w:tr w:rsidR="004B00C3" w:rsidRPr="004B00C3" w14:paraId="47686895" w14:textId="77777777" w:rsidTr="00B0000C">
        <w:tc>
          <w:tcPr>
            <w:tcW w:w="704" w:type="dxa"/>
            <w:vAlign w:val="center"/>
          </w:tcPr>
          <w:p w14:paraId="08EA339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42</w:t>
            </w:r>
          </w:p>
        </w:tc>
        <w:tc>
          <w:tcPr>
            <w:tcW w:w="1701" w:type="dxa"/>
            <w:vAlign w:val="center"/>
          </w:tcPr>
          <w:p w14:paraId="1BC9521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Acetonitrile</w:t>
            </w:r>
          </w:p>
        </w:tc>
        <w:tc>
          <w:tcPr>
            <w:tcW w:w="1276" w:type="dxa"/>
            <w:vAlign w:val="center"/>
          </w:tcPr>
          <w:p w14:paraId="155E0A7B"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CH</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CN</w:t>
            </w:r>
          </w:p>
        </w:tc>
        <w:tc>
          <w:tcPr>
            <w:tcW w:w="1843" w:type="dxa"/>
            <w:vAlign w:val="center"/>
          </w:tcPr>
          <w:p w14:paraId="53C4BBE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2007;Yuan et al., 2017)&lt;/DisplayText&gt;&lt;record&gt;&lt;rec-number&gt;9&lt;/rec-number&gt;&lt;foreign-keys&gt;&lt;key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Yuan&lt;/Author&gt;&lt;Year&gt;2017&lt;/Year&gt;&lt;RecNum&gt;4&lt;/RecNum&gt;&lt;record&gt;&lt;rec-number&gt;4&lt;/rec-number&gt;&lt;foreign-keys&gt;&lt;key app="EN" db-id="prs2xedr3axx04epdfs5t2wbraw2vzrp9vxd"&gt;4&lt;/key&gt;&lt;/foreign-keys&gt;&lt;ref-type name="Journal Article"&gt;17&lt;/ref-type&gt;&lt;contributors&gt;&lt;authors&gt;&lt;author&gt;Yuan, Bin&lt;/author&gt;&lt;author&gt;Koss, Abigail R&lt;/author&gt;&lt;author&gt;Warneke, Carsten&lt;/author&gt;&lt;author&gt;Coggon, Matthew&lt;/author&gt;&lt;author&gt;Sekimoto, Kanako&lt;/author&gt;&lt;author&gt;de Gouw, Joost A&lt;/author&gt;&lt;/authors&gt;&lt;/contributors&gt;&lt;titles&gt;&lt;title&gt;Proton-transfer-reaction mass spectrometry: Applications in atmospheric sciences&lt;/title&gt;&lt;secondary-title&gt;Chemical reviews&lt;/secondary-title&gt;&lt;/titles&gt;&lt;periodical&gt;&lt;full-title&gt;Chemical Reviews&lt;/full-title&gt;&lt;abbr-1&gt;Chem. Rev.&lt;/abbr-1&gt;&lt;/periodical&gt;&lt;pages&gt;13187-13229&lt;/pages&gt;&lt;volume&gt;117&lt;/volume&gt;&lt;number&gt;21&lt;/number&gt;&lt;dates&gt;&lt;year&gt;2017&lt;/year&gt;&lt;/dates&gt;&lt;isbn&gt;0009-2665&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22" w:tooltip="Yuan, 2017 #4" w:history="1">
              <w:r w:rsidRPr="004B00C3">
                <w:rPr>
                  <w:rFonts w:ascii="Times New Roman" w:hAnsi="Times New Roman" w:cs="Times New Roman"/>
                  <w:noProof/>
                  <w:sz w:val="24"/>
                  <w:szCs w:val="24"/>
                </w:rPr>
                <w:t>Yuan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3D69F8C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20.7</w:t>
            </w:r>
          </w:p>
        </w:tc>
        <w:tc>
          <w:tcPr>
            <w:tcW w:w="1134" w:type="dxa"/>
            <w:vAlign w:val="center"/>
          </w:tcPr>
          <w:p w14:paraId="257A561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0.065</w:t>
            </w:r>
          </w:p>
        </w:tc>
        <w:tc>
          <w:tcPr>
            <w:tcW w:w="993" w:type="dxa"/>
            <w:vAlign w:val="center"/>
          </w:tcPr>
          <w:p w14:paraId="6145A21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1.745 (1.015)</w:t>
            </w:r>
          </w:p>
        </w:tc>
      </w:tr>
      <w:tr w:rsidR="004B00C3" w:rsidRPr="004B00C3" w14:paraId="6AEBF97B" w14:textId="77777777" w:rsidTr="00B0000C">
        <w:tc>
          <w:tcPr>
            <w:tcW w:w="704" w:type="dxa"/>
            <w:vAlign w:val="center"/>
          </w:tcPr>
          <w:p w14:paraId="0B80EB4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43</w:t>
            </w:r>
          </w:p>
        </w:tc>
        <w:tc>
          <w:tcPr>
            <w:tcW w:w="1701" w:type="dxa"/>
            <w:vAlign w:val="center"/>
          </w:tcPr>
          <w:p w14:paraId="6BCDEF4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Propene and fragment of acetic acid </w:t>
            </w:r>
            <w:r w:rsidRPr="004B00C3">
              <w:rPr>
                <w:rStyle w:val="FootnoteReference"/>
                <w:rFonts w:ascii="Times New Roman" w:hAnsi="Times New Roman" w:cs="Times New Roman"/>
                <w:sz w:val="24"/>
                <w:szCs w:val="24"/>
              </w:rPr>
              <w:footnoteReference w:id="2"/>
            </w:r>
          </w:p>
        </w:tc>
        <w:tc>
          <w:tcPr>
            <w:tcW w:w="1276" w:type="dxa"/>
            <w:vAlign w:val="center"/>
          </w:tcPr>
          <w:p w14:paraId="56609E3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6</w:t>
            </w:r>
          </w:p>
        </w:tc>
        <w:tc>
          <w:tcPr>
            <w:tcW w:w="1843" w:type="dxa"/>
            <w:vAlign w:val="center"/>
          </w:tcPr>
          <w:p w14:paraId="53A2FC9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PEVuZE5vdGU+PENpdGU+PEF1dGhvcj5TdG9ja3dlbGw8L0F1dGhvcj48WWVhcj4yMDE1PC9ZZWFy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PEVuZE5vdGU+PENpdGU+PEF1dGhvcj5TdG9ja3dlbGw8L0F1dGhvcj48WWVhcj4yMDE1PC9ZZWFy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hyperlink w:anchor="_ENREF_14" w:tooltip="Sarkar, 2016 #7" w:history="1">
              <w:r w:rsidRPr="004B00C3">
                <w:rPr>
                  <w:rFonts w:ascii="Times New Roman" w:hAnsi="Times New Roman" w:cs="Times New Roman"/>
                  <w:noProof/>
                  <w:sz w:val="24"/>
                  <w:szCs w:val="24"/>
                </w:rPr>
                <w:t>Sarkar et al., 2016</w:t>
              </w:r>
            </w:hyperlink>
            <w:r w:rsidRPr="004B00C3">
              <w:rPr>
                <w:rFonts w:ascii="Times New Roman" w:hAnsi="Times New Roman" w:cs="Times New Roman"/>
                <w:noProof/>
                <w:sz w:val="24"/>
                <w:szCs w:val="24"/>
              </w:rPr>
              <w:t>;</w:t>
            </w:r>
            <w:hyperlink w:anchor="_ENREF_2" w:tooltip="Bruns, 2017 #2" w:history="1">
              <w:r w:rsidRPr="004B00C3">
                <w:rPr>
                  <w:rFonts w:ascii="Times New Roman" w:hAnsi="Times New Roman" w:cs="Times New Roman"/>
                  <w:noProof/>
                  <w:sz w:val="24"/>
                  <w:szCs w:val="24"/>
                </w:rPr>
                <w:t xml:space="preserve">Bruns et al., </w:t>
              </w:r>
              <w:r w:rsidRPr="004B00C3">
                <w:rPr>
                  <w:rFonts w:ascii="Times New Roman" w:hAnsi="Times New Roman" w:cs="Times New Roman"/>
                  <w:noProof/>
                  <w:sz w:val="24"/>
                  <w:szCs w:val="24"/>
                </w:rPr>
                <w:lastRenderedPageBreak/>
                <w:t>2017</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EC1582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16.6</w:t>
            </w:r>
          </w:p>
        </w:tc>
        <w:tc>
          <w:tcPr>
            <w:tcW w:w="1134" w:type="dxa"/>
            <w:vAlign w:val="center"/>
          </w:tcPr>
          <w:p w14:paraId="4A5F3FC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0.661</w:t>
            </w:r>
          </w:p>
        </w:tc>
        <w:tc>
          <w:tcPr>
            <w:tcW w:w="993" w:type="dxa"/>
            <w:vAlign w:val="center"/>
          </w:tcPr>
          <w:p w14:paraId="431DD7C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14.082 (7.236)</w:t>
            </w:r>
          </w:p>
        </w:tc>
      </w:tr>
      <w:tr w:rsidR="004B00C3" w:rsidRPr="004B00C3" w14:paraId="66088877" w14:textId="77777777" w:rsidTr="00B0000C">
        <w:tc>
          <w:tcPr>
            <w:tcW w:w="704" w:type="dxa"/>
            <w:vAlign w:val="center"/>
          </w:tcPr>
          <w:p w14:paraId="79CEDE1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44</w:t>
            </w:r>
          </w:p>
        </w:tc>
        <w:tc>
          <w:tcPr>
            <w:tcW w:w="1701" w:type="dxa"/>
            <w:vAlign w:val="center"/>
          </w:tcPr>
          <w:p w14:paraId="102BF73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Isocyanic acid</w:t>
            </w:r>
          </w:p>
        </w:tc>
        <w:tc>
          <w:tcPr>
            <w:tcW w:w="1276" w:type="dxa"/>
            <w:vAlign w:val="center"/>
          </w:tcPr>
          <w:p w14:paraId="01B8F75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HNCO</w:t>
            </w:r>
          </w:p>
        </w:tc>
        <w:tc>
          <w:tcPr>
            <w:tcW w:w="1843" w:type="dxa"/>
            <w:vAlign w:val="center"/>
          </w:tcPr>
          <w:p w14:paraId="2FF59B1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&lt;EndNote&gt;&lt;Cite&gt;&lt;Author&gt;Gylestam&lt;/Author&gt;&lt;Year&gt;2011&lt;/Year&gt;&lt;RecNum&gt;15&lt;/RecNum&gt;&lt;DisplayText&gt;(Gylestam et al., 2011;Sarkar et al., 2017)&lt;/DisplayText&gt;&lt;record&gt;&lt;rec-number&gt;15&lt;/rec-number&gt;&lt;foreign-keys&gt;&lt;key app="EN" db-id="prs2xedr3axx04epdfs5t2wbraw2vzrp9vxd"&gt;15&lt;/key&gt;&lt;/foreign-keys&gt;&lt;ref-type name="Journal Article"&gt;17&lt;/ref-type&gt;&lt;contributors&gt;&lt;authors&gt;&lt;author&gt;Gylestam, Daniel&lt;/author&gt;&lt;author&gt;Karlsson, Daniel&lt;/author&gt;&lt;author&gt;Dalene, Marianne&lt;/author&gt;&lt;author&gt;Skarping, Gunnar&lt;/author&gt;&lt;/authors&gt;&lt;/contributors&gt;&lt;titles&gt;&lt;title&gt;Determination of gas phase isocyanates using proton transfer reaction mass spectrometry&lt;/title&gt;&lt;secondary-title&gt;Analytical Chemistry Letters&lt;/secondary-title&gt;&lt;/titles&gt;&lt;periodical&gt;&lt;full-title&gt;Analytical Chemistry Letters&lt;/full-title&gt;&lt;abbr-1&gt;Anal. Chem. Lett.&lt;/abbr-1&gt;&lt;/periodical&gt;&lt;pages&gt;261-271&lt;/pages&gt;&lt;volume&gt;1&lt;/volume&gt;&lt;number&gt;4&lt;/number&gt;&lt;dates&gt;&lt;year&gt;2011&lt;/year&gt;&lt;/dates&gt;&lt;isbn&gt;2229-7928&lt;/isbn&gt;&lt;urls&gt;&lt;/urls&gt;&lt;/record&gt;&lt;/Cite&gt;&lt;Cite&gt;&lt;Author&gt;Sarkar&lt;/Author&gt;&lt;Year&gt;2017&lt;/Year&gt;&lt;RecNum&gt;33&lt;/RecNum&gt;&lt;record&gt;&lt;rec-number&gt;33&lt;/rec-number&gt;&lt;foreign-keys&gt;&lt;key app="EN" db-id="afpadsaayerfz2erfv0v5vsotvez5dawvfs0"&gt;33&lt;/key&gt;&lt;/foreign-keys&gt;&lt;ref-type name="Journal Article"&gt;17&lt;/ref-type&gt;&lt;contributors&gt;&lt;authors&gt;&lt;author&gt;Sarkar, Chinmoy&lt;/author&gt;&lt;author&gt;Sinha, Vinayak&lt;/author&gt;&lt;author&gt;Sinha, Baerbel&lt;/author&gt;&lt;author&gt;Panday, Arnico K&lt;/author&gt;&lt;author&gt;Rupakheti, Maheswar&lt;/author&gt;&lt;author&gt;Lawrence, Mark G&lt;/author&gt;&lt;/authors&gt;&lt;/contributors&gt;&lt;titles&gt;&lt;title&gt;Source apportionment of NMVOCs in the Kathmandu Valley during the SusKat-ABC international field campaign using positive matrix factorization&lt;/title&gt;&lt;secondary-title&gt;Atmospheric Chemistry and Physics&lt;/secondary-title&gt;&lt;/titles&gt;&lt;periodical&gt;&lt;full-title&gt;Atmospheric Chemistry and Physics&lt;/full-title&gt;&lt;abbr-1&gt;Atmos. Chem. Phys.&lt;/abbr-1&gt;&lt;/periodical&gt;&lt;pages&gt;8129-8156&lt;/pages&gt;&lt;volume&gt;17&lt;/volume&gt;&lt;number&gt;13&lt;/number&gt;&lt;dates&gt;&lt;year&gt;2017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7" w:tooltip="Gylestam, 2011 #15" w:history="1">
              <w:r w:rsidRPr="004B00C3">
                <w:rPr>
                  <w:rFonts w:ascii="Times New Roman" w:hAnsi="Times New Roman" w:cs="Times New Roman"/>
                  <w:noProof/>
                  <w:sz w:val="24"/>
                  <w:szCs w:val="24"/>
                </w:rPr>
                <w:t>Gylestam et al., 2011</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7C4AF2E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16.6</w:t>
            </w:r>
          </w:p>
        </w:tc>
        <w:tc>
          <w:tcPr>
            <w:tcW w:w="1134" w:type="dxa"/>
            <w:vAlign w:val="center"/>
          </w:tcPr>
          <w:p w14:paraId="6255984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0.677</w:t>
            </w:r>
          </w:p>
        </w:tc>
        <w:tc>
          <w:tcPr>
            <w:tcW w:w="993" w:type="dxa"/>
            <w:vAlign w:val="center"/>
          </w:tcPr>
          <w:p w14:paraId="08C0C31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1.839 (0.405)</w:t>
            </w:r>
          </w:p>
        </w:tc>
      </w:tr>
      <w:tr w:rsidR="004B00C3" w:rsidRPr="004B00C3" w14:paraId="1484725B" w14:textId="77777777" w:rsidTr="00B0000C">
        <w:tc>
          <w:tcPr>
            <w:tcW w:w="704" w:type="dxa"/>
            <w:vAlign w:val="center"/>
          </w:tcPr>
          <w:p w14:paraId="706831E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45</w:t>
            </w:r>
          </w:p>
        </w:tc>
        <w:tc>
          <w:tcPr>
            <w:tcW w:w="1701" w:type="dxa"/>
            <w:vAlign w:val="center"/>
          </w:tcPr>
          <w:p w14:paraId="684EF0E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Acetaldehyde</w:t>
            </w:r>
          </w:p>
        </w:tc>
        <w:tc>
          <w:tcPr>
            <w:tcW w:w="1276" w:type="dxa"/>
            <w:vAlign w:val="center"/>
          </w:tcPr>
          <w:p w14:paraId="377D08DD"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CH</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CHO</w:t>
            </w:r>
          </w:p>
        </w:tc>
        <w:tc>
          <w:tcPr>
            <w:tcW w:w="1843" w:type="dxa"/>
            <w:vAlign w:val="center"/>
          </w:tcPr>
          <w:p w14:paraId="52C9E78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PEVuZE5vdGU+PENpdGU+PEF1dGhvcj5kZSBHb3V3PC9BdXRob3I+PFllYXI+MjAwNzwvWWVhcj48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PEVuZE5vdGU+PENpdGU+PEF1dGhvcj5kZSBHb3V3PC9BdXRob3I+PFllYXI+MjAwNzwvWWVhcj48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8" w:tooltip="Janda, 2008 #18" w:history="1">
              <w:r w:rsidRPr="004B00C3">
                <w:rPr>
                  <w:rFonts w:ascii="Times New Roman" w:hAnsi="Times New Roman" w:cs="Times New Roman"/>
                  <w:noProof/>
                  <w:sz w:val="24"/>
                  <w:szCs w:val="24"/>
                </w:rPr>
                <w:t>Janda et al., 2008</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6C4907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20.2</w:t>
            </w:r>
          </w:p>
        </w:tc>
        <w:tc>
          <w:tcPr>
            <w:tcW w:w="1134" w:type="dxa"/>
            <w:vAlign w:val="center"/>
          </w:tcPr>
          <w:p w14:paraId="5DE8192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0.125</w:t>
            </w:r>
          </w:p>
        </w:tc>
        <w:tc>
          <w:tcPr>
            <w:tcW w:w="993" w:type="dxa"/>
            <w:vAlign w:val="center"/>
          </w:tcPr>
          <w:p w14:paraId="2C1AA04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9.123 (4.730)</w:t>
            </w:r>
          </w:p>
        </w:tc>
      </w:tr>
      <w:tr w:rsidR="004B00C3" w:rsidRPr="004B00C3" w14:paraId="55DFC8CB" w14:textId="77777777" w:rsidTr="00B0000C">
        <w:tc>
          <w:tcPr>
            <w:tcW w:w="704" w:type="dxa"/>
            <w:vAlign w:val="center"/>
          </w:tcPr>
          <w:p w14:paraId="3823D25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46</w:t>
            </w:r>
          </w:p>
        </w:tc>
        <w:tc>
          <w:tcPr>
            <w:tcW w:w="1701" w:type="dxa"/>
            <w:vAlign w:val="center"/>
          </w:tcPr>
          <w:p w14:paraId="514A3AA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Formamide/</w:t>
            </w:r>
          </w:p>
          <w:p w14:paraId="27B94F6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Dimethylamine</w:t>
            </w:r>
          </w:p>
        </w:tc>
        <w:tc>
          <w:tcPr>
            <w:tcW w:w="1276" w:type="dxa"/>
            <w:vAlign w:val="center"/>
          </w:tcPr>
          <w:p w14:paraId="0B28968A" w14:textId="77777777" w:rsidR="00BA6401" w:rsidRPr="004B00C3" w:rsidRDefault="00BA6401" w:rsidP="004B00C3">
            <w:pPr>
              <w:spacing w:line="360" w:lineRule="auto"/>
              <w:jc w:val="both"/>
              <w:rPr>
                <w:rStyle w:val="w8qarf"/>
                <w:rFonts w:ascii="Times New Roman" w:hAnsi="Times New Roman" w:cs="Times New Roman"/>
                <w:b/>
                <w:bCs/>
                <w:sz w:val="24"/>
                <w:szCs w:val="24"/>
              </w:rPr>
            </w:pPr>
            <w:r w:rsidRPr="004B00C3">
              <w:rPr>
                <w:rFonts w:ascii="Times New Roman" w:hAnsi="Times New Roman" w:cs="Times New Roman"/>
                <w:sz w:val="24"/>
                <w:szCs w:val="24"/>
                <w:shd w:val="clear" w:color="auto" w:fill="FFFFFF"/>
              </w:rPr>
              <w:t>CH</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NO</w:t>
            </w:r>
            <w:r w:rsidRPr="004B00C3">
              <w:rPr>
                <w:rStyle w:val="w8qarf"/>
                <w:rFonts w:ascii="Times New Roman" w:hAnsi="Times New Roman" w:cs="Times New Roman"/>
                <w:b/>
                <w:bCs/>
                <w:sz w:val="24"/>
                <w:szCs w:val="24"/>
              </w:rPr>
              <w:t>/</w:t>
            </w:r>
          </w:p>
          <w:p w14:paraId="2F23D75E"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(CH</w:t>
            </w:r>
            <w:r w:rsidRPr="004B00C3">
              <w:rPr>
                <w:rStyle w:val="lrzxr"/>
                <w:rFonts w:ascii="Times New Roman" w:hAnsi="Times New Roman" w:cs="Times New Roman"/>
                <w:sz w:val="24"/>
                <w:szCs w:val="24"/>
                <w:shd w:val="clear" w:color="auto" w:fill="FFFFFF"/>
                <w:vertAlign w:val="subscript"/>
              </w:rPr>
              <w:t>3</w:t>
            </w:r>
            <w:r w:rsidRPr="004B00C3">
              <w:rPr>
                <w:rStyle w:val="lrzxr"/>
                <w:rFonts w:ascii="Times New Roman" w:hAnsi="Times New Roman" w:cs="Times New Roman"/>
                <w:sz w:val="24"/>
                <w:szCs w:val="24"/>
                <w:shd w:val="clear" w:color="auto" w:fill="FFFFFF"/>
              </w:rPr>
              <w:t>)</w:t>
            </w:r>
            <w:r w:rsidRPr="004B00C3">
              <w:rPr>
                <w:rStyle w:val="lrzxr"/>
                <w:rFonts w:ascii="Times New Roman" w:hAnsi="Times New Roman" w:cs="Times New Roman"/>
                <w:sz w:val="24"/>
                <w:szCs w:val="24"/>
                <w:shd w:val="clear" w:color="auto" w:fill="FFFFFF"/>
                <w:vertAlign w:val="subscript"/>
              </w:rPr>
              <w:t>2</w:t>
            </w:r>
            <w:r w:rsidRPr="004B00C3">
              <w:rPr>
                <w:rStyle w:val="lrzxr"/>
                <w:rFonts w:ascii="Times New Roman" w:hAnsi="Times New Roman" w:cs="Times New Roman"/>
                <w:sz w:val="24"/>
                <w:szCs w:val="24"/>
                <w:shd w:val="clear" w:color="auto" w:fill="FFFFFF"/>
              </w:rPr>
              <w:t>NH</w:t>
            </w:r>
          </w:p>
        </w:tc>
        <w:tc>
          <w:tcPr>
            <w:tcW w:w="1843" w:type="dxa"/>
            <w:vAlign w:val="center"/>
          </w:tcPr>
          <w:p w14:paraId="0D0A0393" w14:textId="77777777" w:rsidR="00BA6401" w:rsidRPr="004B00C3" w:rsidRDefault="00BA6401" w:rsidP="004B00C3">
            <w:pPr>
              <w:spacing w:line="360" w:lineRule="auto"/>
              <w:jc w:val="both"/>
              <w:rPr>
                <w:rFonts w:ascii="Times New Roman" w:hAnsi="Times New Roman" w:cs="Times New Roman"/>
                <w:sz w:val="24"/>
                <w:szCs w:val="24"/>
                <w:lang w:val="de-DE"/>
              </w:rPr>
            </w:pPr>
            <w:r w:rsidRPr="004B00C3">
              <w:rPr>
                <w:rFonts w:ascii="Times New Roman" w:hAnsi="Times New Roman" w:cs="Times New Roman"/>
                <w:sz w:val="24"/>
                <w:szCs w:val="24"/>
              </w:rPr>
              <w:fldChar w:fldCharType="begin">
                <w:fldData xml:space="preserve">PEVuZE5vdGU+PENpdGU+PEF1dGhvcj5KYW5kYTwvQXV0aG9yPjxZZWFyPjIwMDg8L1llYXI+PFJl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PEVuZE5vdGU+PENpdGU+PEF1dGhvcj5KYW5kYTwvQXV0aG9yPjxZZWFyPjIwMDg8L1llYXI+PFJl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8" w:tooltip="Janda, 2008 #18" w:history="1">
              <w:r w:rsidRPr="004B00C3">
                <w:rPr>
                  <w:rFonts w:ascii="Times New Roman" w:hAnsi="Times New Roman" w:cs="Times New Roman"/>
                  <w:noProof/>
                  <w:sz w:val="24"/>
                  <w:szCs w:val="24"/>
                </w:rPr>
                <w:t>Janda et al., 2008</w:t>
              </w:r>
            </w:hyperlink>
            <w:r w:rsidRPr="004B00C3">
              <w:rPr>
                <w:rFonts w:ascii="Times New Roman" w:hAnsi="Times New Roman" w:cs="Times New Roman"/>
                <w:noProof/>
                <w:sz w:val="24"/>
                <w:szCs w:val="24"/>
              </w:rPr>
              <w:t>;</w:t>
            </w:r>
            <w:hyperlink w:anchor="_ENREF_6" w:tooltip="Ge, 2011 #6" w:history="1">
              <w:r w:rsidRPr="004B00C3">
                <w:rPr>
                  <w:rFonts w:ascii="Times New Roman" w:hAnsi="Times New Roman" w:cs="Times New Roman"/>
                  <w:noProof/>
                  <w:sz w:val="24"/>
                  <w:szCs w:val="24"/>
                </w:rPr>
                <w:t>Ge et al., 2011</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lang w:val="de-DE"/>
              </w:rPr>
              <w:t xml:space="preserve"> </w:t>
            </w:r>
          </w:p>
        </w:tc>
        <w:tc>
          <w:tcPr>
            <w:tcW w:w="1275" w:type="dxa"/>
            <w:vAlign w:val="center"/>
          </w:tcPr>
          <w:p w14:paraId="5437CA6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16.6</w:t>
            </w:r>
          </w:p>
        </w:tc>
        <w:tc>
          <w:tcPr>
            <w:tcW w:w="1134" w:type="dxa"/>
            <w:vAlign w:val="center"/>
          </w:tcPr>
          <w:p w14:paraId="7B5C035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0.708</w:t>
            </w:r>
          </w:p>
        </w:tc>
        <w:tc>
          <w:tcPr>
            <w:tcW w:w="993" w:type="dxa"/>
            <w:vAlign w:val="center"/>
          </w:tcPr>
          <w:p w14:paraId="13F9167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8.626 (2.612)</w:t>
            </w:r>
          </w:p>
        </w:tc>
      </w:tr>
      <w:tr w:rsidR="004B00C3" w:rsidRPr="004B00C3" w14:paraId="3946CDE3" w14:textId="77777777" w:rsidTr="00B0000C">
        <w:tc>
          <w:tcPr>
            <w:tcW w:w="704" w:type="dxa"/>
            <w:vAlign w:val="center"/>
          </w:tcPr>
          <w:p w14:paraId="0526ED5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47</w:t>
            </w:r>
          </w:p>
        </w:tc>
        <w:tc>
          <w:tcPr>
            <w:tcW w:w="1701" w:type="dxa"/>
            <w:vAlign w:val="center"/>
          </w:tcPr>
          <w:p w14:paraId="416CC58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Formic acid and ethanol</w:t>
            </w:r>
          </w:p>
        </w:tc>
        <w:tc>
          <w:tcPr>
            <w:tcW w:w="1276" w:type="dxa"/>
            <w:vAlign w:val="center"/>
          </w:tcPr>
          <w:p w14:paraId="04E397F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HCOOH</w:t>
            </w:r>
          </w:p>
        </w:tc>
        <w:tc>
          <w:tcPr>
            <w:tcW w:w="1843" w:type="dxa"/>
            <w:vAlign w:val="center"/>
          </w:tcPr>
          <w:p w14:paraId="2A4A1EE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PEVuZE5vdGU+PENpdGU+PEF1dGhvcj5XaWxsaWFtczwvQXV0aG9yPjxZZWFyPjIwMDE8L1llYXI+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PEVuZE5vdGU+PENpdGU+PEF1dGhvcj5XaWxsaWFtczwvQXV0aG9yPjxZZWFyPjIwMDE8L1llYXI+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9" w:tooltip="Williams, 2001 #19" w:history="1">
              <w:r w:rsidRPr="004B00C3">
                <w:rPr>
                  <w:rFonts w:ascii="Times New Roman" w:hAnsi="Times New Roman" w:cs="Times New Roman"/>
                  <w:noProof/>
                  <w:sz w:val="24"/>
                  <w:szCs w:val="24"/>
                </w:rPr>
                <w:t>Williams et al., 2001</w:t>
              </w:r>
            </w:hyperlink>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t xml:space="preserve"> </w:t>
            </w:r>
          </w:p>
        </w:tc>
        <w:tc>
          <w:tcPr>
            <w:tcW w:w="1275" w:type="dxa"/>
            <w:vAlign w:val="center"/>
          </w:tcPr>
          <w:p w14:paraId="78911A0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16.6</w:t>
            </w:r>
          </w:p>
        </w:tc>
        <w:tc>
          <w:tcPr>
            <w:tcW w:w="1134" w:type="dxa"/>
            <w:vAlign w:val="center"/>
          </w:tcPr>
          <w:p w14:paraId="71A1482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0.724</w:t>
            </w:r>
          </w:p>
        </w:tc>
        <w:tc>
          <w:tcPr>
            <w:tcW w:w="993" w:type="dxa"/>
            <w:vAlign w:val="center"/>
          </w:tcPr>
          <w:p w14:paraId="5359DB8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10.262 (2.243)</w:t>
            </w:r>
          </w:p>
        </w:tc>
      </w:tr>
      <w:tr w:rsidR="004B00C3" w:rsidRPr="004B00C3" w14:paraId="39F42785" w14:textId="77777777" w:rsidTr="00B0000C">
        <w:tc>
          <w:tcPr>
            <w:tcW w:w="704" w:type="dxa"/>
            <w:vAlign w:val="center"/>
          </w:tcPr>
          <w:p w14:paraId="6C55582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57</w:t>
            </w:r>
          </w:p>
        </w:tc>
        <w:tc>
          <w:tcPr>
            <w:tcW w:w="1701" w:type="dxa"/>
            <w:vAlign w:val="center"/>
          </w:tcPr>
          <w:p w14:paraId="2122BB9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Acrolein/Methylketene</w:t>
            </w:r>
          </w:p>
        </w:tc>
        <w:tc>
          <w:tcPr>
            <w:tcW w:w="1276" w:type="dxa"/>
            <w:vAlign w:val="center"/>
          </w:tcPr>
          <w:p w14:paraId="4C833BF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4</w:t>
            </w:r>
            <w:r w:rsidRPr="004B00C3">
              <w:rPr>
                <w:rFonts w:ascii="Times New Roman" w:hAnsi="Times New Roman" w:cs="Times New Roman"/>
                <w:sz w:val="24"/>
                <w:szCs w:val="24"/>
                <w:shd w:val="clear" w:color="auto" w:fill="FFFFFF"/>
              </w:rPr>
              <w:t>O</w:t>
            </w:r>
          </w:p>
        </w:tc>
        <w:tc>
          <w:tcPr>
            <w:tcW w:w="1843" w:type="dxa"/>
            <w:vAlign w:val="center"/>
          </w:tcPr>
          <w:p w14:paraId="61A1323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&lt;EndNote&gt;&lt;Cite&gt;&lt;Author&gt;Stockwell&lt;/Author&gt;&lt;Year&gt;2015&lt;/Year&gt;&lt;RecNum&gt;13&lt;/RecNum&gt;&lt;DisplayText&gt;(Stockwell et al., 2015;Sarkar et al., 2017)&lt;/DisplayText&gt;&lt;record&gt;&lt;rec-number&gt;13&lt;/rec-number&gt;&lt;foreign-keys&gt;&lt;key app="EN" db-id="prs2xedr3axx04epdfs5t2wbraw2vzrp9vxd"&gt;13&lt;/key&gt;&lt;/foreign-keys&gt;&lt;ref-type name="Journal Article"&gt;17&lt;/ref-type&gt;&lt;contributors&gt;&lt;authors&gt;&lt;author&gt;Stockwell, CE&lt;/author&gt;&lt;author&gt;Veres, PR&lt;/author&gt;&lt;author&gt;Williams, J&lt;/author&gt;&lt;author&gt;Yokelson, RJ&lt;/author&gt;&lt;/authors&gt;&lt;/contributors&gt;&lt;titles&gt;&lt;title&gt;Characterization of biomass burning emissions from cooking fires, peat, crop residue, and other fuels with high-resolution proton-transfer-reaction time-of-flight mass spectrometry&lt;/title&gt;&lt;secondary-title&gt;Atmospheric Chemistry and Physics&lt;/secondary-title&gt;&lt;/titles&gt;&lt;periodical&gt;&lt;full-title&gt;Atmospheric Chemistry and Physics&lt;/full-title&gt;&lt;abbr-1&gt;Atmos. Chem. Phys.&lt;/abbr-1&gt;&lt;/periodical&gt;&lt;pages&gt;845-865&lt;/pages&gt;&lt;volume&gt;15&lt;/volume&gt;&lt;number&gt;2&lt;/number&gt;&lt;dates&gt;&lt;year&gt;2015&lt;/year&gt;&lt;/dates&gt;&lt;isbn&gt;1680-7316&lt;/isbn&gt;&lt;urls&gt;&lt;/urls&gt;&lt;/record&gt;&lt;/Cite&gt;&lt;Cite&gt;&lt;Author&gt;Sarkar&lt;/Author&gt;&lt;Year&gt;2017&lt;/Year&gt;&lt;RecNum&gt;33&lt;/RecNum&gt;&lt;record&gt;&lt;rec-number&gt;33&lt;/rec-number&gt;&lt;foreign-keys&gt;&lt;key app="EN" db-id="afpadsaayerfz2erfv0v5vsotvez5dawvfs0"&gt;33&lt;/key&gt;&lt;/foreign-keys&gt;&lt;ref-type name="Journal Article"&gt;17&lt;/ref-type&gt;&lt;contributors&gt;&lt;authors&gt;&lt;author&gt;Sarkar, Chinmoy&lt;/author&gt;&lt;author&gt;Sinha, Vinayak&lt;/author&gt;&lt;author&gt;Sinha, Baerbel&lt;/author&gt;&lt;author&gt;Panday, Arnico K&lt;/author&gt;&lt;author&gt;Rupakheti, Maheswar&lt;/author&gt;&lt;author&gt;Lawrence, Mark G&lt;/author&gt;&lt;/authors&gt;&lt;/contributors&gt;&lt;titles&gt;&lt;title&gt;Source apportionment of NMVOCs in the Kathmandu Valley during the SusKat-ABC international field campaign using positive matrix factorization&lt;/title&gt;&lt;secondary-title&gt;Atmospheric Chemistry and Physics&lt;/secondary-title&gt;&lt;/titles&gt;&lt;periodical&gt;&lt;full-title&gt;Atmospheric Chemistry and Physics&lt;/full-title&gt;&lt;abbr-1&gt;Atmos. Chem. Phys.&lt;/abbr-1&gt;&lt;/periodical&gt;&lt;pages&gt;8129-8156&lt;/pages&gt;&lt;volume&gt;17&lt;/volume&gt;&lt;number&gt;13&lt;/number&gt;&lt;dates&gt;&lt;year&gt;2017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010A25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16.5</w:t>
            </w:r>
          </w:p>
        </w:tc>
        <w:tc>
          <w:tcPr>
            <w:tcW w:w="1134" w:type="dxa"/>
            <w:vAlign w:val="center"/>
          </w:tcPr>
          <w:p w14:paraId="1930406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0.881</w:t>
            </w:r>
          </w:p>
        </w:tc>
        <w:tc>
          <w:tcPr>
            <w:tcW w:w="993" w:type="dxa"/>
            <w:vAlign w:val="center"/>
          </w:tcPr>
          <w:p w14:paraId="6B2307E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5.990 (4.419)</w:t>
            </w:r>
          </w:p>
        </w:tc>
      </w:tr>
      <w:tr w:rsidR="004B00C3" w:rsidRPr="004B00C3" w14:paraId="42AE51FD" w14:textId="77777777" w:rsidTr="00B0000C">
        <w:tc>
          <w:tcPr>
            <w:tcW w:w="704" w:type="dxa"/>
            <w:vAlign w:val="center"/>
          </w:tcPr>
          <w:p w14:paraId="669CFCE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59</w:t>
            </w:r>
          </w:p>
        </w:tc>
        <w:tc>
          <w:tcPr>
            <w:tcW w:w="1701" w:type="dxa"/>
            <w:vAlign w:val="center"/>
          </w:tcPr>
          <w:p w14:paraId="2F9EC66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Acetone</w:t>
            </w:r>
          </w:p>
        </w:tc>
        <w:tc>
          <w:tcPr>
            <w:tcW w:w="1276" w:type="dxa"/>
            <w:vAlign w:val="center"/>
          </w:tcPr>
          <w:p w14:paraId="792DC510"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6</w:t>
            </w:r>
            <w:r w:rsidRPr="004B00C3">
              <w:rPr>
                <w:rFonts w:ascii="Times New Roman" w:hAnsi="Times New Roman" w:cs="Times New Roman"/>
                <w:sz w:val="24"/>
                <w:szCs w:val="24"/>
                <w:shd w:val="clear" w:color="auto" w:fill="FFFFFF"/>
              </w:rPr>
              <w:t>O</w:t>
            </w:r>
          </w:p>
        </w:tc>
        <w:tc>
          <w:tcPr>
            <w:tcW w:w="1843" w:type="dxa"/>
            <w:vAlign w:val="center"/>
          </w:tcPr>
          <w:p w14:paraId="6BEDF5B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Gouw&lt;/Author&gt;&lt;Year&gt;2004&lt;/Year&gt;&lt;RecNum&gt;12&lt;/RecNum&gt;&lt;DisplayText&gt;(de Gouw et al., 2004)&lt;/DisplayText&gt;&lt;record&gt;&lt;rec-number&gt;12&lt;/rec-number&gt;&lt;foreign-keys&gt;&lt;key app="EN" db-id="prs2xedr3axx04epdfs5t2wbraw2vzrp9vxd"&gt;12&lt;/key&gt;&lt;/foreign-keys&gt;&lt;ref-type name="Journal Article"&gt;17&lt;/ref-type&gt;&lt;contributors&gt;&lt;authors&gt;&lt;author&gt;de Gouw, Joost&lt;/author&gt;&lt;author&gt;Warneke, Carsten&lt;/author&gt;&lt;author&gt;Holzinger, Rupert&lt;/author&gt;&lt;author&gt;Klüpfel, Thomas&lt;/author&gt;&lt;author&gt;Williams, Jonathan&lt;/author&gt;&lt;/authors&gt;&lt;/contributors&gt;&lt;titles&gt;&lt;title&gt;Inter-comparison between airborne measurements of methanol, acetonitrile and acetone using two differently configured PTR-MS instruments&lt;/title&gt;&lt;secondary-title&gt;International Journal of Mass Spectrometry&lt;/secondary-title&gt;&lt;/titles&gt;&lt;periodical&gt;&lt;full-title&gt;International Journal of Mass Spectrometry&lt;/full-title&gt;&lt;abbr-1&gt;Int. J. Mass Spectrom.&lt;/abbr-1&gt;&lt;/periodical&gt;&lt;pages&gt;129-137&lt;/pages&gt;&lt;volume&gt;239&lt;/volume&gt;&lt;number&gt;2-3&lt;/number&gt;&lt;dates&gt;&lt;year&gt;2004&lt;/year&gt;&lt;/dates&gt;&lt;isbn&gt;1387-3806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3" w:tooltip="de Gouw, 2004 #12" w:history="1">
              <w:r w:rsidRPr="004B00C3">
                <w:rPr>
                  <w:rFonts w:ascii="Times New Roman" w:hAnsi="Times New Roman" w:cs="Times New Roman"/>
                  <w:noProof/>
                  <w:sz w:val="24"/>
                  <w:szCs w:val="24"/>
                </w:rPr>
                <w:t>de Gouw et al., 2004</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2F9487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22.8</w:t>
            </w:r>
          </w:p>
        </w:tc>
        <w:tc>
          <w:tcPr>
            <w:tcW w:w="1134" w:type="dxa"/>
            <w:vAlign w:val="center"/>
          </w:tcPr>
          <w:p w14:paraId="505E2AB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0.109</w:t>
            </w:r>
          </w:p>
        </w:tc>
        <w:tc>
          <w:tcPr>
            <w:tcW w:w="993" w:type="dxa"/>
            <w:vAlign w:val="center"/>
          </w:tcPr>
          <w:p w14:paraId="47988EE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10.447 (5.603)</w:t>
            </w:r>
          </w:p>
        </w:tc>
      </w:tr>
      <w:tr w:rsidR="004B00C3" w:rsidRPr="004B00C3" w14:paraId="73334C52" w14:textId="77777777" w:rsidTr="00B0000C">
        <w:tc>
          <w:tcPr>
            <w:tcW w:w="704" w:type="dxa"/>
            <w:vAlign w:val="center"/>
          </w:tcPr>
          <w:p w14:paraId="348C213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60</w:t>
            </w:r>
          </w:p>
        </w:tc>
        <w:tc>
          <w:tcPr>
            <w:tcW w:w="1701" w:type="dxa"/>
            <w:vAlign w:val="center"/>
          </w:tcPr>
          <w:p w14:paraId="7EE4023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Acetamide/</w:t>
            </w:r>
          </w:p>
          <w:p w14:paraId="0C34F44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Trimethylamine</w:t>
            </w:r>
          </w:p>
        </w:tc>
        <w:tc>
          <w:tcPr>
            <w:tcW w:w="1276" w:type="dxa"/>
            <w:vAlign w:val="center"/>
          </w:tcPr>
          <w:p w14:paraId="668B5586"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2</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5</w:t>
            </w:r>
            <w:r w:rsidRPr="004B00C3">
              <w:rPr>
                <w:rFonts w:ascii="Times New Roman" w:hAnsi="Times New Roman" w:cs="Times New Roman"/>
                <w:sz w:val="24"/>
                <w:szCs w:val="24"/>
                <w:shd w:val="clear" w:color="auto" w:fill="FFFFFF"/>
              </w:rPr>
              <w:t>NO/</w:t>
            </w:r>
          </w:p>
          <w:p w14:paraId="0A5CF5D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9</w:t>
            </w:r>
            <w:r w:rsidRPr="004B00C3">
              <w:rPr>
                <w:rFonts w:ascii="Times New Roman" w:hAnsi="Times New Roman" w:cs="Times New Roman"/>
                <w:sz w:val="24"/>
                <w:szCs w:val="24"/>
                <w:shd w:val="clear" w:color="auto" w:fill="FFFFFF"/>
              </w:rPr>
              <w:t>N</w:t>
            </w:r>
          </w:p>
        </w:tc>
        <w:tc>
          <w:tcPr>
            <w:tcW w:w="1843" w:type="dxa"/>
            <w:vAlign w:val="center"/>
          </w:tcPr>
          <w:p w14:paraId="2B4ED0E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PEVuZE5vdGU+PENpdGU+PEF1dGhvcj5TdG9ja3dlbGw8L0F1dGhvcj48WWVhcj4yMDE1PC9ZZWFy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PEVuZE5vdGU+PENpdGU+PEF1dGhvcj5TdG9ja3dlbGw8L0F1dGhvcj48WWVhcj4yMDE1PC9ZZWFy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hyperlink w:anchor="_ENREF_14" w:tooltip="Sarkar, 2016 #7" w:history="1">
              <w:r w:rsidRPr="004B00C3">
                <w:rPr>
                  <w:rFonts w:ascii="Times New Roman" w:hAnsi="Times New Roman" w:cs="Times New Roman"/>
                  <w:noProof/>
                  <w:sz w:val="24"/>
                  <w:szCs w:val="24"/>
                </w:rPr>
                <w:t>Sarkar et al., 2016</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9B10B6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16.5</w:t>
            </w:r>
          </w:p>
        </w:tc>
        <w:tc>
          <w:tcPr>
            <w:tcW w:w="1134" w:type="dxa"/>
            <w:vAlign w:val="center"/>
          </w:tcPr>
          <w:p w14:paraId="681048C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0.929</w:t>
            </w:r>
          </w:p>
        </w:tc>
        <w:tc>
          <w:tcPr>
            <w:tcW w:w="993" w:type="dxa"/>
            <w:vAlign w:val="center"/>
          </w:tcPr>
          <w:p w14:paraId="53C622D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1.962 (0.664)</w:t>
            </w:r>
          </w:p>
        </w:tc>
      </w:tr>
      <w:tr w:rsidR="004B00C3" w:rsidRPr="004B00C3" w14:paraId="707508EF" w14:textId="77777777" w:rsidTr="00B0000C">
        <w:tc>
          <w:tcPr>
            <w:tcW w:w="704" w:type="dxa"/>
            <w:vAlign w:val="center"/>
          </w:tcPr>
          <w:p w14:paraId="1203EB2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61</w:t>
            </w:r>
          </w:p>
        </w:tc>
        <w:tc>
          <w:tcPr>
            <w:tcW w:w="1701" w:type="dxa"/>
            <w:vAlign w:val="center"/>
          </w:tcPr>
          <w:p w14:paraId="3B616A0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Acetic acid</w:t>
            </w:r>
          </w:p>
        </w:tc>
        <w:tc>
          <w:tcPr>
            <w:tcW w:w="1276" w:type="dxa"/>
            <w:vAlign w:val="center"/>
          </w:tcPr>
          <w:p w14:paraId="232D31C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CH</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COOH</w:t>
            </w:r>
          </w:p>
        </w:tc>
        <w:tc>
          <w:tcPr>
            <w:tcW w:w="1843" w:type="dxa"/>
            <w:vAlign w:val="center"/>
          </w:tcPr>
          <w:p w14:paraId="17DAC78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3F26518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16.4</w:t>
            </w:r>
          </w:p>
        </w:tc>
        <w:tc>
          <w:tcPr>
            <w:tcW w:w="1134" w:type="dxa"/>
            <w:vAlign w:val="center"/>
          </w:tcPr>
          <w:p w14:paraId="3C1271B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0.944</w:t>
            </w:r>
          </w:p>
        </w:tc>
        <w:tc>
          <w:tcPr>
            <w:tcW w:w="993" w:type="dxa"/>
            <w:vAlign w:val="center"/>
          </w:tcPr>
          <w:p w14:paraId="2AA0A8B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18.453 (9.551)</w:t>
            </w:r>
          </w:p>
        </w:tc>
      </w:tr>
      <w:tr w:rsidR="004B00C3" w:rsidRPr="004B00C3" w14:paraId="2A60FD35" w14:textId="77777777" w:rsidTr="00B0000C">
        <w:tc>
          <w:tcPr>
            <w:tcW w:w="704" w:type="dxa"/>
            <w:vAlign w:val="center"/>
          </w:tcPr>
          <w:p w14:paraId="54E4A93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63</w:t>
            </w:r>
          </w:p>
        </w:tc>
        <w:tc>
          <w:tcPr>
            <w:tcW w:w="1701" w:type="dxa"/>
            <w:vAlign w:val="center"/>
          </w:tcPr>
          <w:p w14:paraId="633C8E8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Dimethyl sulfide</w:t>
            </w:r>
          </w:p>
        </w:tc>
        <w:tc>
          <w:tcPr>
            <w:tcW w:w="1276" w:type="dxa"/>
            <w:vAlign w:val="center"/>
          </w:tcPr>
          <w:p w14:paraId="2533B77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2</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6</w:t>
            </w:r>
            <w:r w:rsidRPr="004B00C3">
              <w:rPr>
                <w:rFonts w:ascii="Times New Roman" w:hAnsi="Times New Roman" w:cs="Times New Roman"/>
                <w:sz w:val="24"/>
                <w:szCs w:val="24"/>
                <w:shd w:val="clear" w:color="auto" w:fill="FFFFFF"/>
              </w:rPr>
              <w:t>S</w:t>
            </w:r>
          </w:p>
        </w:tc>
        <w:tc>
          <w:tcPr>
            <w:tcW w:w="1843" w:type="dxa"/>
            <w:vAlign w:val="center"/>
          </w:tcPr>
          <w:p w14:paraId="4C1135F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4B4FAB8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16.4</w:t>
            </w:r>
          </w:p>
        </w:tc>
        <w:tc>
          <w:tcPr>
            <w:tcW w:w="1134" w:type="dxa"/>
            <w:vAlign w:val="center"/>
          </w:tcPr>
          <w:p w14:paraId="4A753F3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0.976</w:t>
            </w:r>
          </w:p>
        </w:tc>
        <w:tc>
          <w:tcPr>
            <w:tcW w:w="993" w:type="dxa"/>
            <w:vAlign w:val="center"/>
          </w:tcPr>
          <w:p w14:paraId="0F07695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0.920 (0.296)</w:t>
            </w:r>
          </w:p>
        </w:tc>
      </w:tr>
      <w:tr w:rsidR="004B00C3" w:rsidRPr="004B00C3" w14:paraId="6B649E71" w14:textId="77777777" w:rsidTr="00B0000C">
        <w:tc>
          <w:tcPr>
            <w:tcW w:w="704" w:type="dxa"/>
            <w:vAlign w:val="center"/>
          </w:tcPr>
          <w:p w14:paraId="65DEA27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68</w:t>
            </w:r>
          </w:p>
        </w:tc>
        <w:tc>
          <w:tcPr>
            <w:tcW w:w="1701" w:type="dxa"/>
            <w:vAlign w:val="center"/>
          </w:tcPr>
          <w:p w14:paraId="290C4CC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Pyrrole</w:t>
            </w:r>
          </w:p>
        </w:tc>
        <w:tc>
          <w:tcPr>
            <w:tcW w:w="1276" w:type="dxa"/>
            <w:vAlign w:val="center"/>
          </w:tcPr>
          <w:p w14:paraId="57EA7769"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4</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5</w:t>
            </w:r>
            <w:r w:rsidRPr="004B00C3">
              <w:rPr>
                <w:rStyle w:val="lrzxr"/>
                <w:rFonts w:ascii="Times New Roman" w:hAnsi="Times New Roman" w:cs="Times New Roman"/>
                <w:sz w:val="24"/>
                <w:szCs w:val="24"/>
                <w:shd w:val="clear" w:color="auto" w:fill="FFFFFF"/>
              </w:rPr>
              <w:t>N</w:t>
            </w:r>
          </w:p>
        </w:tc>
        <w:tc>
          <w:tcPr>
            <w:tcW w:w="1843" w:type="dxa"/>
            <w:vAlign w:val="center"/>
          </w:tcPr>
          <w:p w14:paraId="58F3E06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PEVuZE5vdGU+PENpdGU+PEF1dGhvcj5LYXJsPC9BdXRob3I+PFllYXI+MjAwNzwvWWVhcj48UmVj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==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PEVuZE5vdGU+PENpdGU+PEF1dGhvcj5LYXJsPC9BdXRob3I+PFllYXI+MjAwNzwvWWVhcj48UmVj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==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t xml:space="preserve"> </w:t>
            </w:r>
          </w:p>
        </w:tc>
        <w:tc>
          <w:tcPr>
            <w:tcW w:w="1275" w:type="dxa"/>
            <w:vAlign w:val="center"/>
          </w:tcPr>
          <w:p w14:paraId="1EF54A9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16.2</w:t>
            </w:r>
          </w:p>
        </w:tc>
        <w:tc>
          <w:tcPr>
            <w:tcW w:w="1134" w:type="dxa"/>
            <w:vAlign w:val="center"/>
          </w:tcPr>
          <w:p w14:paraId="433AE43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1.055</w:t>
            </w:r>
          </w:p>
        </w:tc>
        <w:tc>
          <w:tcPr>
            <w:tcW w:w="993" w:type="dxa"/>
            <w:vAlign w:val="center"/>
          </w:tcPr>
          <w:p w14:paraId="4551BA4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0.528 (0.231)</w:t>
            </w:r>
          </w:p>
        </w:tc>
      </w:tr>
      <w:tr w:rsidR="004B00C3" w:rsidRPr="004B00C3" w14:paraId="562233F8" w14:textId="77777777" w:rsidTr="00B0000C">
        <w:tc>
          <w:tcPr>
            <w:tcW w:w="704" w:type="dxa"/>
            <w:vAlign w:val="center"/>
          </w:tcPr>
          <w:p w14:paraId="0E1F550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69</w:t>
            </w:r>
          </w:p>
        </w:tc>
        <w:tc>
          <w:tcPr>
            <w:tcW w:w="1701" w:type="dxa"/>
            <w:vAlign w:val="center"/>
          </w:tcPr>
          <w:p w14:paraId="630DD0A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Isoprene and Furan</w:t>
            </w:r>
          </w:p>
        </w:tc>
        <w:tc>
          <w:tcPr>
            <w:tcW w:w="1276" w:type="dxa"/>
            <w:vAlign w:val="center"/>
          </w:tcPr>
          <w:p w14:paraId="240B3C3D"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5</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8</w:t>
            </w:r>
          </w:p>
        </w:tc>
        <w:tc>
          <w:tcPr>
            <w:tcW w:w="1843" w:type="dxa"/>
            <w:vAlign w:val="center"/>
          </w:tcPr>
          <w:p w14:paraId="5E12BD4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FF389A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9.0</w:t>
            </w:r>
          </w:p>
        </w:tc>
        <w:tc>
          <w:tcPr>
            <w:tcW w:w="1134" w:type="dxa"/>
            <w:vAlign w:val="center"/>
          </w:tcPr>
          <w:p w14:paraId="0CF4D57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0.278</w:t>
            </w:r>
          </w:p>
        </w:tc>
        <w:tc>
          <w:tcPr>
            <w:tcW w:w="993" w:type="dxa"/>
            <w:vAlign w:val="center"/>
          </w:tcPr>
          <w:p w14:paraId="27ADEB2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4.004 (1.710)</w:t>
            </w:r>
          </w:p>
        </w:tc>
      </w:tr>
      <w:tr w:rsidR="004B00C3" w:rsidRPr="004B00C3" w14:paraId="5050C3E2" w14:textId="77777777" w:rsidTr="00B0000C">
        <w:tc>
          <w:tcPr>
            <w:tcW w:w="704" w:type="dxa"/>
            <w:vAlign w:val="center"/>
          </w:tcPr>
          <w:p w14:paraId="793088E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71</w:t>
            </w:r>
          </w:p>
        </w:tc>
        <w:tc>
          <w:tcPr>
            <w:tcW w:w="1701" w:type="dxa"/>
            <w:vAlign w:val="center"/>
          </w:tcPr>
          <w:p w14:paraId="560127F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 vinyl ketone</w:t>
            </w:r>
          </w:p>
        </w:tc>
        <w:tc>
          <w:tcPr>
            <w:tcW w:w="1276" w:type="dxa"/>
            <w:vAlign w:val="center"/>
          </w:tcPr>
          <w:p w14:paraId="0567EA8F"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4</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6</w:t>
            </w:r>
            <w:r w:rsidRPr="004B00C3">
              <w:rPr>
                <w:rFonts w:ascii="Times New Roman" w:hAnsi="Times New Roman" w:cs="Times New Roman"/>
                <w:sz w:val="24"/>
                <w:szCs w:val="24"/>
                <w:shd w:val="clear" w:color="auto" w:fill="FFFFFF"/>
              </w:rPr>
              <w:t>O</w:t>
            </w:r>
          </w:p>
        </w:tc>
        <w:tc>
          <w:tcPr>
            <w:tcW w:w="1843" w:type="dxa"/>
            <w:vAlign w:val="center"/>
          </w:tcPr>
          <w:p w14:paraId="7E9E14A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2007;Stockwell et al., 2015)&lt;/DisplayText&gt;&lt;record&gt;&lt;rec-number&gt;9&lt;/rec-number&gt;&lt;foreign-keys&gt;&lt;key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Stockwell&lt;/Author&gt;&lt;Year&gt;2015&lt;/Year&gt;&lt;RecNum&gt;13&lt;/RecNum&gt;&lt;record&gt;&lt;rec-number&gt;13&lt;/rec-number&gt;&lt;foreign-keys&gt;&lt;key app="EN" db-id="prs2xedr3axx04epdfs5t2wbraw2vzrp9vxd"&gt;13&lt;/key&gt;&lt;/foreign-keys&gt;&lt;ref-type name="Journal Article"&gt;17&lt;/ref-type&gt;&lt;contributors&gt;&lt;authors&gt;&lt;author&gt;Stockwell, CE&lt;/author&gt;&lt;author&gt;Veres, PR&lt;/author&gt;&lt;author&gt;Williams, J&lt;/author&gt;&lt;author&gt;Yokelson, RJ&lt;/author&gt;&lt;/authors&gt;&lt;/contributors&gt;&lt;titles&gt;&lt;title&gt;Characterization of biomass burning emissions from cooking fires, peat, crop residue, and other fuels with high-resolution proton-transfer-reaction time-of-flight mass spectrometry&lt;/title&gt;&lt;secondary-title&gt;Atmospheric Chemistry and Physics&lt;/secondary-title&gt;&lt;/titles&gt;&lt;periodical&gt;&lt;full-title&gt;Atmospheric Chemistry and Physics&lt;/full-title&gt;&lt;abbr-1&gt;Atmos. Chem. Phys.&lt;/abbr-1&gt;&lt;/periodical&gt;&lt;pages&gt;845-865&lt;/pages&gt;&lt;volume&gt;15&lt;/volume&gt;&lt;number&gt;2&lt;/number&gt;&lt;dates&gt;&lt;year&gt;2015&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118B97C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16.0</w:t>
            </w:r>
          </w:p>
        </w:tc>
        <w:tc>
          <w:tcPr>
            <w:tcW w:w="1134" w:type="dxa"/>
            <w:vAlign w:val="center"/>
          </w:tcPr>
          <w:p w14:paraId="33495A1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1.102</w:t>
            </w:r>
          </w:p>
        </w:tc>
        <w:tc>
          <w:tcPr>
            <w:tcW w:w="993" w:type="dxa"/>
            <w:vAlign w:val="center"/>
          </w:tcPr>
          <w:p w14:paraId="20113CA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2.577 (1.395)</w:t>
            </w:r>
          </w:p>
        </w:tc>
      </w:tr>
      <w:tr w:rsidR="004B00C3" w:rsidRPr="004B00C3" w14:paraId="6AC1E2F9" w14:textId="77777777" w:rsidTr="00B0000C">
        <w:tc>
          <w:tcPr>
            <w:tcW w:w="704" w:type="dxa"/>
            <w:vAlign w:val="center"/>
          </w:tcPr>
          <w:p w14:paraId="4577A08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73</w:t>
            </w:r>
          </w:p>
        </w:tc>
        <w:tc>
          <w:tcPr>
            <w:tcW w:w="1701" w:type="dxa"/>
            <w:vAlign w:val="center"/>
          </w:tcPr>
          <w:p w14:paraId="195706D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 ethyl ketone</w:t>
            </w:r>
          </w:p>
        </w:tc>
        <w:tc>
          <w:tcPr>
            <w:tcW w:w="1276" w:type="dxa"/>
            <w:vAlign w:val="center"/>
          </w:tcPr>
          <w:p w14:paraId="3AADE967"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4</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8</w:t>
            </w:r>
            <w:r w:rsidRPr="004B00C3">
              <w:rPr>
                <w:rFonts w:ascii="Times New Roman" w:hAnsi="Times New Roman" w:cs="Times New Roman"/>
                <w:sz w:val="24"/>
                <w:szCs w:val="24"/>
                <w:shd w:val="clear" w:color="auto" w:fill="FFFFFF"/>
              </w:rPr>
              <w:t>O</w:t>
            </w:r>
          </w:p>
        </w:tc>
        <w:tc>
          <w:tcPr>
            <w:tcW w:w="1843" w:type="dxa"/>
            <w:vAlign w:val="center"/>
          </w:tcPr>
          <w:p w14:paraId="3CDFEDF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2007;Stockwell et al., 2015)&lt;/DisplayText&gt;&lt;record&gt;&lt;rec-number&gt;9&lt;/rec-number&gt;&lt;foreign-keys&gt;&lt;key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Stockwell&lt;/Author&gt;&lt;Year&gt;2015&lt;/Year&gt;&lt;RecNum&gt;13&lt;/RecNum&gt;&lt;record&gt;&lt;rec-number&gt;13&lt;/rec-number&gt;&lt;foreign-keys&gt;&lt;key app="EN" db-id="prs2xedr3axx04epdfs5t2wbraw2vzrp9vxd"&gt;13&lt;/key&gt;&lt;/foreign-keys&gt;&lt;ref-type name="Journal Article"&gt;17&lt;/ref-type&gt;&lt;contributors&gt;&lt;authors&gt;&lt;author&gt;Stockwell, CE&lt;/author&gt;&lt;author&gt;Veres, PR&lt;/author&gt;&lt;author&gt;Williams, J&lt;/author&gt;&lt;author&gt;Yokelson, RJ&lt;/author&gt;&lt;/authors&gt;&lt;/contributors&gt;&lt;titles&gt;&lt;title&gt;Characterization of biomass burning emissions from cooking fires, peat, crop residue, and other fuels with high-resolution proton-transfer-reaction time-of-flight mass spectrometry&lt;/title&gt;&lt;secondary-title&gt;Atmospheric Chemistry and Physics&lt;/secondary-title&gt;&lt;/titles&gt;&lt;periodical&gt;&lt;full-title&gt;Atmospheric Chemistry and Physics&lt;/full-title&gt;&lt;abbr-1&gt;Atmos. Chem. Phys.&lt;/abbr-1&gt;&lt;/periodical&gt;&lt;pages&gt;845-865&lt;/pages&gt;&lt;volume&gt;15&lt;/volume&gt;&lt;number&gt;2&lt;/number&gt;&lt;dates&gt;&lt;year&gt;2015&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75B8AC2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15.9</w:t>
            </w:r>
          </w:p>
        </w:tc>
        <w:tc>
          <w:tcPr>
            <w:tcW w:w="1134" w:type="dxa"/>
            <w:vAlign w:val="center"/>
          </w:tcPr>
          <w:p w14:paraId="48B1B12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1.133</w:t>
            </w:r>
          </w:p>
        </w:tc>
        <w:tc>
          <w:tcPr>
            <w:tcW w:w="993" w:type="dxa"/>
            <w:vAlign w:val="center"/>
          </w:tcPr>
          <w:p w14:paraId="63E5322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3.159 (1.578)</w:t>
            </w:r>
          </w:p>
        </w:tc>
      </w:tr>
      <w:tr w:rsidR="004B00C3" w:rsidRPr="004B00C3" w14:paraId="6F754A26" w14:textId="77777777" w:rsidTr="00B0000C">
        <w:tc>
          <w:tcPr>
            <w:tcW w:w="704" w:type="dxa"/>
            <w:vAlign w:val="center"/>
          </w:tcPr>
          <w:p w14:paraId="2B2D5E5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74</w:t>
            </w:r>
          </w:p>
        </w:tc>
        <w:tc>
          <w:tcPr>
            <w:tcW w:w="1701" w:type="dxa"/>
            <w:vAlign w:val="center"/>
          </w:tcPr>
          <w:p w14:paraId="068A3C4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Propanamide/</w:t>
            </w:r>
          </w:p>
          <w:p w14:paraId="00373A8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Butylamine</w:t>
            </w:r>
          </w:p>
        </w:tc>
        <w:tc>
          <w:tcPr>
            <w:tcW w:w="1276" w:type="dxa"/>
            <w:vAlign w:val="center"/>
          </w:tcPr>
          <w:p w14:paraId="61CBF7A5"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7</w:t>
            </w:r>
            <w:r w:rsidRPr="004B00C3">
              <w:rPr>
                <w:rFonts w:ascii="Times New Roman" w:hAnsi="Times New Roman" w:cs="Times New Roman"/>
                <w:sz w:val="24"/>
                <w:szCs w:val="24"/>
                <w:shd w:val="clear" w:color="auto" w:fill="FFFFFF"/>
              </w:rPr>
              <w:t>NO/</w:t>
            </w:r>
          </w:p>
          <w:p w14:paraId="68E86928"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4</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11</w:t>
            </w:r>
            <w:r w:rsidRPr="004B00C3">
              <w:rPr>
                <w:rFonts w:ascii="Times New Roman" w:hAnsi="Times New Roman" w:cs="Times New Roman"/>
                <w:sz w:val="24"/>
                <w:szCs w:val="24"/>
                <w:shd w:val="clear" w:color="auto" w:fill="FFFFFF"/>
              </w:rPr>
              <w:t>N</w:t>
            </w:r>
          </w:p>
        </w:tc>
        <w:tc>
          <w:tcPr>
            <w:tcW w:w="1843" w:type="dxa"/>
            <w:vAlign w:val="center"/>
          </w:tcPr>
          <w:p w14:paraId="3717013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&lt;EndNote&gt;&lt;Cite&gt;&lt;Author&gt;Brilli&lt;/Author&gt;&lt;Year&gt;2014&lt;/Year&gt;&lt;RecNum&gt;20&lt;/RecNum&gt;&lt;DisplayText&gt;(Brilli et al., 2014)&lt;/DisplayText&gt;&lt;record&gt;&lt;rec-number&gt;20&lt;/rec-number&gt;&lt;foreign-keys&gt;&lt;key app="EN" db-id="prs2xedr3axx04epdfs5t2wbraw2vzrp9vxd"&gt;20&lt;/key&gt;&lt;/foreign-keys&gt;&lt;ref-type name="Journal Article"&gt;17&lt;/ref-type&gt;&lt;contributors&gt;&lt;authors&gt;&lt;author&gt;Brilli, Federico&lt;/author&gt;&lt;author&gt;Gioli, Beniamino&lt;/author&gt;&lt;author&gt;Ciccioli, Paolo&lt;/author&gt;&lt;author&gt;Zona, Donatella&lt;/author&gt;&lt;author&gt;Loreto, Francesco&lt;/author&gt;&lt;author&gt;Janssens, Ivan A&lt;/author&gt;&lt;author&gt;Ceulemans, Reinhart&lt;/author&gt;&lt;/authors&gt;&lt;/contributors&gt;&lt;titles&gt;&lt;title&gt;Proton Transfer Reaction Time-of-Flight Mass Spectrometric (PTR-TOF-MS) determination of volatile organic compounds (VOCs) emitted from a biomass fire developed under stable nocturnal conditions&lt;/title&gt;&lt;secondary-title&gt;Atmospheric environment&lt;/secondary-title&gt;&lt;/titles&gt;&lt;periodical&gt;&lt;full-title&gt;Atmospheric Environment&lt;/full-title&gt;&lt;abbr-1&gt;Atmos. Environ.&lt;/abbr-1&gt;&lt;/periodical&gt;&lt;pages&gt;54-67&lt;/pages&gt;&lt;volume&gt;97&lt;/volume&gt;&lt;dates&gt;&lt;year&gt;2014&lt;/year&gt;&lt;/dates&gt;&lt;isbn&gt;1352-2310&lt;/isbn&gt;&lt;urls&gt;&lt;/urls&gt;&lt;/record&gt;&lt;/Cite&gt;&lt;/EndNote&gt;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 w:tooltip="Brilli, 2014 #20" w:history="1">
              <w:r w:rsidRPr="004B00C3">
                <w:rPr>
                  <w:rFonts w:ascii="Times New Roman" w:hAnsi="Times New Roman" w:cs="Times New Roman"/>
                  <w:noProof/>
                  <w:sz w:val="24"/>
                  <w:szCs w:val="24"/>
                </w:rPr>
                <w:t>Brilli et al., 2014</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895909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15.9</w:t>
            </w:r>
          </w:p>
        </w:tc>
        <w:tc>
          <w:tcPr>
            <w:tcW w:w="1134" w:type="dxa"/>
            <w:vAlign w:val="center"/>
          </w:tcPr>
          <w:p w14:paraId="6CD8B7E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1.149</w:t>
            </w:r>
          </w:p>
        </w:tc>
        <w:tc>
          <w:tcPr>
            <w:tcW w:w="993" w:type="dxa"/>
            <w:vAlign w:val="center"/>
          </w:tcPr>
          <w:p w14:paraId="511360C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1.091 (0.331)</w:t>
            </w:r>
          </w:p>
        </w:tc>
      </w:tr>
      <w:tr w:rsidR="004B00C3" w:rsidRPr="004B00C3" w14:paraId="21A512B2" w14:textId="77777777" w:rsidTr="00B0000C">
        <w:tc>
          <w:tcPr>
            <w:tcW w:w="704" w:type="dxa"/>
            <w:vAlign w:val="center"/>
          </w:tcPr>
          <w:p w14:paraId="01AA7E0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75</w:t>
            </w:r>
          </w:p>
        </w:tc>
        <w:tc>
          <w:tcPr>
            <w:tcW w:w="1701" w:type="dxa"/>
            <w:vAlign w:val="center"/>
          </w:tcPr>
          <w:p w14:paraId="04B2A872"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Hydroxyacetone</w:t>
            </w:r>
          </w:p>
        </w:tc>
        <w:tc>
          <w:tcPr>
            <w:tcW w:w="1276" w:type="dxa"/>
            <w:vAlign w:val="center"/>
          </w:tcPr>
          <w:p w14:paraId="54F4CA3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3</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6</w:t>
            </w:r>
            <w:r w:rsidRPr="004B00C3">
              <w:rPr>
                <w:rFonts w:ascii="Times New Roman" w:hAnsi="Times New Roman" w:cs="Times New Roman"/>
                <w:sz w:val="24"/>
                <w:szCs w:val="24"/>
                <w:shd w:val="clear" w:color="auto" w:fill="FFFFFF"/>
              </w:rPr>
              <w:t>O</w:t>
            </w:r>
            <w:r w:rsidRPr="004B00C3">
              <w:rPr>
                <w:rFonts w:ascii="Times New Roman" w:hAnsi="Times New Roman" w:cs="Times New Roman"/>
                <w:sz w:val="24"/>
                <w:szCs w:val="24"/>
                <w:shd w:val="clear" w:color="auto" w:fill="FFFFFF"/>
                <w:vertAlign w:val="subscript"/>
              </w:rPr>
              <w:t>2</w:t>
            </w:r>
          </w:p>
        </w:tc>
        <w:tc>
          <w:tcPr>
            <w:tcW w:w="1843" w:type="dxa"/>
            <w:vAlign w:val="center"/>
          </w:tcPr>
          <w:p w14:paraId="4DFECF0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PEVuZE5vdGU+PENpdGU+PEF1dGhvcj5XaWxsaWFtczwvQXV0aG9yPjxZZWFyPjIwMDE8L1llYXI+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PEVuZE5vdGU+PENpdGU+PEF1dGhvcj5XaWxsaWFtczwvQXV0aG9yPjxZZWFyPjIwMDE8L1llYXI+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9" w:tooltip="Williams, 2001 #19" w:history="1">
              <w:r w:rsidRPr="004B00C3">
                <w:rPr>
                  <w:rFonts w:ascii="Times New Roman" w:hAnsi="Times New Roman" w:cs="Times New Roman"/>
                  <w:noProof/>
                  <w:sz w:val="24"/>
                  <w:szCs w:val="24"/>
                </w:rPr>
                <w:t>Williams et al., 2001</w:t>
              </w:r>
            </w:hyperlink>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t xml:space="preserve"> </w:t>
            </w:r>
          </w:p>
        </w:tc>
        <w:tc>
          <w:tcPr>
            <w:tcW w:w="1275" w:type="dxa"/>
            <w:vAlign w:val="center"/>
          </w:tcPr>
          <w:p w14:paraId="43582FE8"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15.8</w:t>
            </w:r>
          </w:p>
        </w:tc>
        <w:tc>
          <w:tcPr>
            <w:tcW w:w="1134" w:type="dxa"/>
            <w:vAlign w:val="center"/>
          </w:tcPr>
          <w:p w14:paraId="2932A94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1.165</w:t>
            </w:r>
          </w:p>
        </w:tc>
        <w:tc>
          <w:tcPr>
            <w:tcW w:w="993" w:type="dxa"/>
            <w:vAlign w:val="center"/>
          </w:tcPr>
          <w:p w14:paraId="1793F18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4.523 (2.791)</w:t>
            </w:r>
          </w:p>
        </w:tc>
      </w:tr>
      <w:tr w:rsidR="004B00C3" w:rsidRPr="004B00C3" w14:paraId="1FE6DBFC" w14:textId="77777777" w:rsidTr="00B0000C">
        <w:tc>
          <w:tcPr>
            <w:tcW w:w="704" w:type="dxa"/>
            <w:vAlign w:val="center"/>
          </w:tcPr>
          <w:p w14:paraId="54CB03E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79</w:t>
            </w:r>
          </w:p>
        </w:tc>
        <w:tc>
          <w:tcPr>
            <w:tcW w:w="1701" w:type="dxa"/>
            <w:vAlign w:val="center"/>
          </w:tcPr>
          <w:p w14:paraId="0B620C4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Benzene</w:t>
            </w:r>
          </w:p>
        </w:tc>
        <w:tc>
          <w:tcPr>
            <w:tcW w:w="1276" w:type="dxa"/>
            <w:vAlign w:val="center"/>
          </w:tcPr>
          <w:p w14:paraId="4B7D4187"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6</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6</w:t>
            </w:r>
          </w:p>
        </w:tc>
        <w:tc>
          <w:tcPr>
            <w:tcW w:w="1843" w:type="dxa"/>
            <w:vAlign w:val="center"/>
          </w:tcPr>
          <w:p w14:paraId="1F47B40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2007;Karl et al.,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Karl&lt;/Author&gt;&lt;Year&gt;2007&lt;/Year&gt;&lt;RecNum&gt;3&lt;/RecNum&gt;&lt;record&gt;&lt;rec-number&gt;3&lt;/rec-number&gt;&lt;foreign-keys&gt;&lt;key app="EN" db-id="prs2xedr3axx04epdfs5t2wbraw2vzrp9vxd"&gt;3&lt;/key&gt;&lt;/foreign-keys&gt;&lt;ref-type name="Journal Article"&gt;17&lt;/ref-type&gt;&lt;contributors&gt;&lt;authors&gt;&lt;author&gt;Karl, TG&lt;/author&gt;&lt;author&gt;Christian, Ted J&lt;/author&gt;&lt;author&gt;Yokelson, Robert J&lt;/author&gt;&lt;author&gt;Artaxo, Paulo&lt;/author&gt;&lt;author&gt;Hao, W Min&lt;/author&gt;&lt;author&gt;Guenther, Alex&lt;/author&gt;&lt;/authors&gt;&lt;/contributors&gt;&lt;titles&gt;&lt;title&gt;The Tropical Forest and Fire Emissions Experiment: method evaluation of volatile organic compound emissions measured by PTR-MS, FTIR, and GC from tropical biomass burning&lt;/title&gt;&lt;secondary-title&gt;Atmospheric Chemistry and Physics&lt;/secondary-title&gt;&lt;/titles&gt;&lt;periodical&gt;&lt;full-title&gt;Atmospheric Chemistry and Physics&lt;/full-title&gt;&lt;abbr-1&gt;Atmos. Chem. Phys.&lt;/abbr-1&gt;&lt;/periodical&gt;&lt;pages&gt;5883-5897&lt;/pages&gt;&lt;volume&gt;7&lt;/volume&gt;&lt;number&gt;22&lt;/number&gt;&lt;dates&gt;&lt;year&gt;2007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1CD3590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13.5</w:t>
            </w:r>
          </w:p>
        </w:tc>
        <w:tc>
          <w:tcPr>
            <w:tcW w:w="1134" w:type="dxa"/>
            <w:vAlign w:val="center"/>
          </w:tcPr>
          <w:p w14:paraId="730B102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0.196</w:t>
            </w:r>
          </w:p>
        </w:tc>
        <w:tc>
          <w:tcPr>
            <w:tcW w:w="993" w:type="dxa"/>
            <w:vAlign w:val="center"/>
          </w:tcPr>
          <w:p w14:paraId="0A775AE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4.105 (3.320)</w:t>
            </w:r>
          </w:p>
        </w:tc>
      </w:tr>
      <w:tr w:rsidR="004B00C3" w:rsidRPr="004B00C3" w14:paraId="0BD43832" w14:textId="77777777" w:rsidTr="00B0000C">
        <w:tc>
          <w:tcPr>
            <w:tcW w:w="704" w:type="dxa"/>
            <w:vAlign w:val="center"/>
          </w:tcPr>
          <w:p w14:paraId="76920F6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83</w:t>
            </w:r>
          </w:p>
        </w:tc>
        <w:tc>
          <w:tcPr>
            <w:tcW w:w="1701" w:type="dxa"/>
            <w:vAlign w:val="center"/>
          </w:tcPr>
          <w:p w14:paraId="5C6535A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Assorted Hydrocarbons</w:t>
            </w:r>
          </w:p>
        </w:tc>
        <w:tc>
          <w:tcPr>
            <w:tcW w:w="1276" w:type="dxa"/>
            <w:vAlign w:val="center"/>
          </w:tcPr>
          <w:p w14:paraId="31C969FE" w14:textId="77777777" w:rsidR="00BA6401" w:rsidRPr="004B00C3" w:rsidRDefault="00BA6401" w:rsidP="004B00C3">
            <w:pPr>
              <w:spacing w:line="360" w:lineRule="auto"/>
              <w:jc w:val="both"/>
              <w:rPr>
                <w:rStyle w:val="lrzxr"/>
                <w:rFonts w:ascii="Times New Roman" w:hAnsi="Times New Roman" w:cs="Times New Roman"/>
                <w:sz w:val="24"/>
                <w:szCs w:val="24"/>
                <w:shd w:val="clear" w:color="auto" w:fill="FFFFFF"/>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6</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10</w:t>
            </w:r>
          </w:p>
        </w:tc>
        <w:tc>
          <w:tcPr>
            <w:tcW w:w="1843" w:type="dxa"/>
            <w:vAlign w:val="center"/>
          </w:tcPr>
          <w:p w14:paraId="16F412F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&lt;EndNote&gt;&lt;Cite&gt;&lt;Author&gt;Yokelson&lt;/Author&gt;&lt;Year&gt;2013&lt;/Year&gt;&lt;RecNum&gt;22&lt;/RecNum&gt;&lt;DisplayText&gt;(Yokelson et al., 2013)&lt;/DisplayText&gt;&lt;record&gt;&lt;rec-number&gt;22&lt;/rec-number&gt;&lt;foreign-keys&gt;&lt;key app="EN" db-id="prs2xedr3axx04epdfs5t2wbraw2vzrp9vxd"&gt;22&lt;/key&gt;&lt;/foreign-keys&gt;&lt;ref-type name="Journal Article"&gt;17&lt;/ref-type&gt;&lt;contributors&gt;&lt;authors&gt;&lt;author&gt;Yokelson, Robert J&lt;/author&gt;&lt;author&gt;Burling, IR&lt;/author&gt;&lt;author&gt;Gilman, JB&lt;/author&gt;&lt;author&gt;Warneke, C&lt;/author&gt;&lt;author&gt;Stockwell, CE&lt;/author&gt;&lt;author&gt;Gouw, J de&lt;/author&gt;&lt;author&gt;Akagi, SK&lt;/author&gt;&lt;author&gt;Urbanski, SP&lt;/author&gt;&lt;author&gt;Veres, P&lt;/author&gt;&lt;author&gt;Roberts, JM&lt;/author&gt;&lt;/authors&gt;&lt;/contributors&gt;&lt;titles&gt;&lt;title&gt;Coupling field and laboratory measurements to estimate the emission factors of identified and unidentified trace gases for prescribed fires&lt;/title&gt;&lt;secondary-title&gt;Atmospheric Chemistry and Physics&lt;/secondary-title&gt;&lt;/titles&gt;&lt;periodical&gt;&lt;full-title&gt;Atmospheric Chemistry and Physics&lt;/full-title&gt;&lt;abbr-1&gt;Atmos. Chem. Phys.&lt;/abbr-1&gt;&lt;/periodical&gt;&lt;pages&gt;89-116&lt;/pages&gt;&lt;volume&gt;13&lt;/volume&gt;&lt;number&gt;1&lt;/number&gt;&lt;dates&gt;&lt;year&gt;2013&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C87369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15.3</w:t>
            </w:r>
          </w:p>
        </w:tc>
        <w:tc>
          <w:tcPr>
            <w:tcW w:w="1134" w:type="dxa"/>
            <w:vAlign w:val="center"/>
          </w:tcPr>
          <w:p w14:paraId="5A46EC1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1.291</w:t>
            </w:r>
          </w:p>
        </w:tc>
        <w:tc>
          <w:tcPr>
            <w:tcW w:w="993" w:type="dxa"/>
            <w:vAlign w:val="center"/>
          </w:tcPr>
          <w:p w14:paraId="6DDB298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2.531 (1.423)</w:t>
            </w:r>
          </w:p>
        </w:tc>
      </w:tr>
      <w:tr w:rsidR="004B00C3" w:rsidRPr="004B00C3" w14:paraId="51C0D3C7" w14:textId="77777777" w:rsidTr="00B0000C">
        <w:tc>
          <w:tcPr>
            <w:tcW w:w="704" w:type="dxa"/>
            <w:vAlign w:val="center"/>
          </w:tcPr>
          <w:p w14:paraId="677C933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85</w:t>
            </w:r>
          </w:p>
        </w:tc>
        <w:tc>
          <w:tcPr>
            <w:tcW w:w="1701" w:type="dxa"/>
            <w:vAlign w:val="center"/>
          </w:tcPr>
          <w:p w14:paraId="312919B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Assorted Hydrocarbons</w:t>
            </w:r>
          </w:p>
        </w:tc>
        <w:tc>
          <w:tcPr>
            <w:tcW w:w="1276" w:type="dxa"/>
            <w:vAlign w:val="center"/>
          </w:tcPr>
          <w:p w14:paraId="10CBA4A6"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6</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12</w:t>
            </w:r>
          </w:p>
        </w:tc>
        <w:tc>
          <w:tcPr>
            <w:tcW w:w="1843" w:type="dxa"/>
            <w:vAlign w:val="center"/>
          </w:tcPr>
          <w:p w14:paraId="6F7825C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&lt;EndNote&gt;&lt;Cite&gt;&lt;Author&gt;Yokelson&lt;/Author&gt;&lt;Year&gt;2013&lt;/Year&gt;&lt;RecNum&gt;22&lt;/RecNum&gt;&lt;DisplayText&gt;(Yokelson et al., 2013)&lt;/DisplayText&gt;&lt;record&gt;&lt;rec-number&gt;22&lt;/rec-number&gt;&lt;foreign-keys&gt;&lt;key app="EN" db-id="prs2xedr3axx04epdfs5t2wbraw2vzrp9vxd"&gt;22&lt;/key&gt;&lt;/foreign-keys&gt;&lt;ref-type name="Journal Article"&gt;17&lt;/ref-type&gt;&lt;contributors&gt;&lt;authors&gt;&lt;author&gt;Yokelson, Robert J&lt;/author&gt;&lt;author&gt;Burling, IR&lt;/author&gt;&lt;author&gt;Gilman, JB&lt;/author&gt;&lt;author&gt;Warneke, C&lt;/author&gt;&lt;author&gt;Stockwell, CE&lt;/author&gt;&lt;author&gt;Gouw, J de&lt;/author&gt;&lt;author&gt;Akagi, SK&lt;/author&gt;&lt;author&gt;Urbanski, SP&lt;/author&gt;&lt;author&gt;Veres, P&lt;/author&gt;&lt;author&gt;Roberts, JM&lt;/author&gt;&lt;/authors&gt;&lt;/contributors&gt;&lt;titles&gt;&lt;title&gt;Coupling field and laboratory measurements to estimate the emission factors of identified and unidentified trace gases for prescribed fires&lt;/title&gt;&lt;secondary-title&gt;Atmospheric Chemistry and Physics&lt;/secondary-title&gt;&lt;/titles&gt;&lt;periodical&gt;&lt;full-title&gt;Atmospheric Chemistry and Physics&lt;/full-title&gt;&lt;abbr-1&gt;Atmos. Chem. Phys.&lt;/abbr-1&gt;&lt;/periodical&gt;&lt;pages&gt;89-116&lt;/pages&gt;&lt;volume&gt;13&lt;/volume&gt;&lt;number&gt;1&lt;/number&gt;&lt;dates&gt;&lt;year&gt;2013&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6F4D58D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15.1</w:t>
            </w:r>
          </w:p>
        </w:tc>
        <w:tc>
          <w:tcPr>
            <w:tcW w:w="1134" w:type="dxa"/>
            <w:vAlign w:val="center"/>
          </w:tcPr>
          <w:p w14:paraId="055545F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1.322</w:t>
            </w:r>
          </w:p>
        </w:tc>
        <w:tc>
          <w:tcPr>
            <w:tcW w:w="993" w:type="dxa"/>
            <w:vAlign w:val="center"/>
          </w:tcPr>
          <w:p w14:paraId="3368ACF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2.686 (1.571)</w:t>
            </w:r>
          </w:p>
        </w:tc>
      </w:tr>
      <w:tr w:rsidR="004B00C3" w:rsidRPr="004B00C3" w14:paraId="34A818A1" w14:textId="77777777" w:rsidTr="00B0000C">
        <w:tc>
          <w:tcPr>
            <w:tcW w:w="704" w:type="dxa"/>
            <w:vAlign w:val="center"/>
          </w:tcPr>
          <w:p w14:paraId="6D8954C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87</w:t>
            </w:r>
          </w:p>
        </w:tc>
        <w:tc>
          <w:tcPr>
            <w:tcW w:w="1701" w:type="dxa"/>
            <w:vAlign w:val="center"/>
          </w:tcPr>
          <w:p w14:paraId="48864E2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2,3-Butanedione,</w:t>
            </w:r>
          </w:p>
          <w:p w14:paraId="6372062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2-methyl-Butanal or pentanone</w:t>
            </w:r>
          </w:p>
        </w:tc>
        <w:tc>
          <w:tcPr>
            <w:tcW w:w="1276" w:type="dxa"/>
            <w:vAlign w:val="center"/>
          </w:tcPr>
          <w:p w14:paraId="28634FBA" w14:textId="77777777" w:rsidR="00BA6401" w:rsidRPr="004B00C3" w:rsidRDefault="00BA6401" w:rsidP="004B00C3">
            <w:pPr>
              <w:spacing w:line="360" w:lineRule="auto"/>
              <w:jc w:val="both"/>
              <w:rPr>
                <w:rFonts w:ascii="Times New Roman" w:hAnsi="Times New Roman" w:cs="Times New Roman"/>
                <w:sz w:val="24"/>
                <w:szCs w:val="24"/>
                <w:vertAlign w:val="subscript"/>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4</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6</w:t>
            </w:r>
            <w:r w:rsidRPr="004B00C3">
              <w:rPr>
                <w:rFonts w:ascii="Times New Roman" w:hAnsi="Times New Roman" w:cs="Times New Roman"/>
                <w:sz w:val="24"/>
                <w:szCs w:val="24"/>
              </w:rPr>
              <w:t>O</w:t>
            </w:r>
            <w:r w:rsidRPr="004B00C3">
              <w:rPr>
                <w:rFonts w:ascii="Times New Roman" w:hAnsi="Times New Roman" w:cs="Times New Roman"/>
                <w:sz w:val="24"/>
                <w:szCs w:val="24"/>
                <w:vertAlign w:val="subscript"/>
              </w:rPr>
              <w:t>2</w:t>
            </w:r>
          </w:p>
          <w:p w14:paraId="04F65D94" w14:textId="77777777" w:rsidR="00BA6401" w:rsidRPr="004B00C3" w:rsidRDefault="00BA6401" w:rsidP="004B00C3">
            <w:pPr>
              <w:spacing w:line="360" w:lineRule="auto"/>
              <w:jc w:val="both"/>
              <w:rPr>
                <w:rStyle w:val="lrzxr"/>
                <w:rFonts w:ascii="Times New Roman" w:hAnsi="Times New Roman" w:cs="Times New Roman"/>
                <w:sz w:val="24"/>
                <w:szCs w:val="24"/>
                <w:shd w:val="clear" w:color="auto" w:fill="FFFFFF"/>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5</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10</w:t>
            </w:r>
            <w:r w:rsidRPr="004B00C3">
              <w:rPr>
                <w:rFonts w:ascii="Times New Roman" w:hAnsi="Times New Roman" w:cs="Times New Roman"/>
                <w:sz w:val="24"/>
                <w:szCs w:val="24"/>
              </w:rPr>
              <w:t>O</w:t>
            </w:r>
          </w:p>
        </w:tc>
        <w:tc>
          <w:tcPr>
            <w:tcW w:w="1843" w:type="dxa"/>
            <w:vAlign w:val="center"/>
          </w:tcPr>
          <w:p w14:paraId="7A70A36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PEVuZE5vdGU+PENpdGU+PEF1dGhvcj5Zb2tlbHNvbjwvQXV0aG9yPjxZZWFyPjIwMTM8L1llYXI+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PEVuZE5vdGU+PENpdGU+PEF1dGhvcj5Zb2tlbHNvbjwvQXV0aG9yPjxZZWFyPjIwMTM8L1llYXI+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hyperlink w:anchor="_ENREF_1" w:tooltip="Brilli, 2014 #20" w:history="1">
              <w:r w:rsidRPr="004B00C3">
                <w:rPr>
                  <w:rFonts w:ascii="Times New Roman" w:hAnsi="Times New Roman" w:cs="Times New Roman"/>
                  <w:noProof/>
                  <w:sz w:val="24"/>
                  <w:szCs w:val="24"/>
                </w:rPr>
                <w:t>Brilli et al., 2014</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4E3A49F7"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15.0</w:t>
            </w:r>
          </w:p>
        </w:tc>
        <w:tc>
          <w:tcPr>
            <w:tcW w:w="1134" w:type="dxa"/>
            <w:vAlign w:val="center"/>
          </w:tcPr>
          <w:p w14:paraId="2D34599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1.354</w:t>
            </w:r>
          </w:p>
        </w:tc>
        <w:tc>
          <w:tcPr>
            <w:tcW w:w="993" w:type="dxa"/>
            <w:vAlign w:val="center"/>
          </w:tcPr>
          <w:p w14:paraId="4C5D5C3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3.407 (2.025)</w:t>
            </w:r>
          </w:p>
        </w:tc>
      </w:tr>
      <w:tr w:rsidR="004B00C3" w:rsidRPr="004B00C3" w14:paraId="28C10E48" w14:textId="77777777" w:rsidTr="00B0000C">
        <w:tc>
          <w:tcPr>
            <w:tcW w:w="704" w:type="dxa"/>
            <w:vAlign w:val="center"/>
          </w:tcPr>
          <w:p w14:paraId="2FC5A01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93</w:t>
            </w:r>
          </w:p>
        </w:tc>
        <w:tc>
          <w:tcPr>
            <w:tcW w:w="1701" w:type="dxa"/>
            <w:vAlign w:val="center"/>
          </w:tcPr>
          <w:p w14:paraId="4B9C919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Toluene</w:t>
            </w:r>
          </w:p>
        </w:tc>
        <w:tc>
          <w:tcPr>
            <w:tcW w:w="1276" w:type="dxa"/>
            <w:vAlign w:val="center"/>
          </w:tcPr>
          <w:p w14:paraId="508B1165"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7</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8</w:t>
            </w:r>
          </w:p>
        </w:tc>
        <w:tc>
          <w:tcPr>
            <w:tcW w:w="1843" w:type="dxa"/>
            <w:vAlign w:val="center"/>
          </w:tcPr>
          <w:p w14:paraId="022735F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2007;Karl et al.,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Karl&lt;/Author&gt;&lt;Year&gt;2007&lt;/Year&gt;&lt;RecNum&gt;3&lt;/RecNum&gt;&lt;record&gt;&lt;rec-number&gt;3&lt;/rec-number&gt;&lt;foreign-keys&gt;&lt;key app="EN" db-id="prs2xedr3axx04epdfs5t2wbraw2vzrp9vxd"&gt;3&lt;/key&gt;&lt;/foreign-keys&gt;&lt;ref-type name="Journal Article"&gt;17&lt;/ref-type&gt;&lt;contributors&gt;&lt;authors&gt;&lt;author&gt;Karl, TG&lt;/author&gt;&lt;author&gt;Christian, Ted J&lt;/author&gt;&lt;author&gt;Yokelson, Robert J&lt;/author&gt;&lt;author&gt;Artaxo, Paulo&lt;/author&gt;&lt;author&gt;Hao, W Min&lt;/author&gt;&lt;author&gt;Guenther, Alex&lt;/author&gt;&lt;/authors&gt;&lt;/contributors&gt;&lt;titles&gt;&lt;title&gt;The Tropical Forest and Fire Emissions Experiment: method evaluation of volatile organic compound emissions measured by PTR-MS, FTIR, and GC from tropical biomass burning&lt;/title&gt;&lt;secondary-title&gt;Atmospheric Chemistry and Physics&lt;/secondary-title&gt;&lt;/titles&gt;&lt;periodical&gt;&lt;full-title&gt;Atmospheric Chemistry and Physics&lt;/full-title&gt;&lt;abbr-1&gt;Atmos. Chem. Phys.&lt;/abbr-1&gt;&lt;/periodical&gt;&lt;pages&gt;5883-5897&lt;/pages&gt;&lt;volume&gt;7&lt;/volume&gt;&lt;number&gt;22&lt;/number&gt;&lt;dates&gt;&lt;year&gt;2007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354E429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14.3</w:t>
            </w:r>
          </w:p>
        </w:tc>
        <w:tc>
          <w:tcPr>
            <w:tcW w:w="1134" w:type="dxa"/>
            <w:vAlign w:val="center"/>
          </w:tcPr>
          <w:p w14:paraId="165E3A8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0.261</w:t>
            </w:r>
          </w:p>
        </w:tc>
        <w:tc>
          <w:tcPr>
            <w:tcW w:w="993" w:type="dxa"/>
            <w:vAlign w:val="center"/>
          </w:tcPr>
          <w:p w14:paraId="37F763E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7.805 (6.977)</w:t>
            </w:r>
          </w:p>
        </w:tc>
      </w:tr>
      <w:tr w:rsidR="004B00C3" w:rsidRPr="004B00C3" w14:paraId="0F2A0B62" w14:textId="77777777" w:rsidTr="00B0000C">
        <w:tc>
          <w:tcPr>
            <w:tcW w:w="704" w:type="dxa"/>
            <w:vAlign w:val="center"/>
          </w:tcPr>
          <w:p w14:paraId="114DA6D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95</w:t>
            </w:r>
          </w:p>
        </w:tc>
        <w:tc>
          <w:tcPr>
            <w:tcW w:w="1701" w:type="dxa"/>
            <w:vAlign w:val="center"/>
          </w:tcPr>
          <w:p w14:paraId="6B055E6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Phenol</w:t>
            </w:r>
          </w:p>
        </w:tc>
        <w:tc>
          <w:tcPr>
            <w:tcW w:w="1276" w:type="dxa"/>
            <w:vAlign w:val="center"/>
          </w:tcPr>
          <w:p w14:paraId="4803F514"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6</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5</w:t>
            </w:r>
            <w:r w:rsidRPr="004B00C3">
              <w:rPr>
                <w:rFonts w:ascii="Times New Roman" w:hAnsi="Times New Roman" w:cs="Times New Roman"/>
                <w:sz w:val="24"/>
                <w:szCs w:val="24"/>
                <w:shd w:val="clear" w:color="auto" w:fill="FFFFFF"/>
              </w:rPr>
              <w:t>OH</w:t>
            </w:r>
          </w:p>
        </w:tc>
        <w:tc>
          <w:tcPr>
            <w:tcW w:w="1843" w:type="dxa"/>
            <w:vAlign w:val="center"/>
          </w:tcPr>
          <w:p w14:paraId="5ADDE1B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PEVuZE5vdGU+PENpdGU+PEF1dGhvcj5LYXJsPC9BdXRob3I+PFllYXI+MjAwNzwvWWVhcj48UmVj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PEVuZE5vdGU+PENpdGU+PEF1dGhvcj5LYXJsPC9BdXRob3I+PFllYXI+MjAwNzwvWWVhcj48UmVj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hyperlink w:anchor="_ENREF_15" w:tooltip="Sarkar, 2017 #33" w:history="1">
              <w:r w:rsidRPr="004B00C3">
                <w:rPr>
                  <w:rFonts w:ascii="Times New Roman" w:hAnsi="Times New Roman" w:cs="Times New Roman"/>
                  <w:noProof/>
                  <w:sz w:val="24"/>
                  <w:szCs w:val="24"/>
                </w:rPr>
                <w:t>Sarkar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D2A424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14.2</w:t>
            </w:r>
          </w:p>
        </w:tc>
        <w:tc>
          <w:tcPr>
            <w:tcW w:w="1134" w:type="dxa"/>
            <w:vAlign w:val="center"/>
          </w:tcPr>
          <w:p w14:paraId="293DEBE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1.480</w:t>
            </w:r>
          </w:p>
        </w:tc>
        <w:tc>
          <w:tcPr>
            <w:tcW w:w="993" w:type="dxa"/>
            <w:vAlign w:val="center"/>
          </w:tcPr>
          <w:p w14:paraId="47908AC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1.766 (1.167)</w:t>
            </w:r>
          </w:p>
        </w:tc>
      </w:tr>
      <w:tr w:rsidR="004B00C3" w:rsidRPr="004B00C3" w14:paraId="67A9002A" w14:textId="77777777" w:rsidTr="00B0000C">
        <w:tc>
          <w:tcPr>
            <w:tcW w:w="704" w:type="dxa"/>
            <w:vAlign w:val="center"/>
          </w:tcPr>
          <w:p w14:paraId="5B035C7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101</w:t>
            </w:r>
          </w:p>
        </w:tc>
        <w:tc>
          <w:tcPr>
            <w:tcW w:w="1701" w:type="dxa"/>
            <w:vAlign w:val="center"/>
          </w:tcPr>
          <w:p w14:paraId="2AFED4A3" w14:textId="2E290C14"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2,3-Pentanedione, acetyl </w:t>
            </w:r>
            <w:r w:rsidR="00622B43" w:rsidRPr="004B00C3">
              <w:rPr>
                <w:rFonts w:ascii="Times New Roman" w:hAnsi="Times New Roman" w:cs="Times New Roman"/>
                <w:sz w:val="24"/>
                <w:szCs w:val="24"/>
              </w:rPr>
              <w:t>acetone,</w:t>
            </w:r>
            <w:r w:rsidRPr="004B00C3">
              <w:rPr>
                <w:rFonts w:ascii="Times New Roman" w:hAnsi="Times New Roman" w:cs="Times New Roman"/>
                <w:sz w:val="24"/>
                <w:szCs w:val="24"/>
              </w:rPr>
              <w:t xml:space="preserve"> 2-butenoic acid methyl ester or</w:t>
            </w:r>
            <w:r w:rsidRPr="004B00C3">
              <w:rPr>
                <w:rFonts w:ascii="Times New Roman" w:hAnsi="Times New Roman" w:cs="Times New Roman"/>
                <w:sz w:val="24"/>
                <w:szCs w:val="24"/>
                <w:vertAlign w:val="superscript"/>
              </w:rPr>
              <w:t xml:space="preserve"> </w:t>
            </w:r>
            <w:r w:rsidRPr="004B00C3">
              <w:rPr>
                <w:rFonts w:ascii="Times New Roman" w:hAnsi="Times New Roman" w:cs="Times New Roman"/>
                <w:sz w:val="24"/>
                <w:szCs w:val="24"/>
              </w:rPr>
              <w:t>hexanal,</w:t>
            </w:r>
          </w:p>
        </w:tc>
        <w:tc>
          <w:tcPr>
            <w:tcW w:w="1276" w:type="dxa"/>
            <w:vAlign w:val="center"/>
          </w:tcPr>
          <w:p w14:paraId="0D304CC8" w14:textId="77777777" w:rsidR="00BA6401" w:rsidRPr="004B00C3" w:rsidRDefault="00BA6401" w:rsidP="004B00C3">
            <w:pPr>
              <w:spacing w:line="360" w:lineRule="auto"/>
              <w:jc w:val="both"/>
              <w:rPr>
                <w:rFonts w:ascii="Times New Roman" w:hAnsi="Times New Roman" w:cs="Times New Roman"/>
                <w:sz w:val="24"/>
                <w:szCs w:val="24"/>
                <w:vertAlign w:val="subscript"/>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5</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8</w:t>
            </w:r>
            <w:r w:rsidRPr="004B00C3">
              <w:rPr>
                <w:rFonts w:ascii="Times New Roman" w:hAnsi="Times New Roman" w:cs="Times New Roman"/>
                <w:sz w:val="24"/>
                <w:szCs w:val="24"/>
              </w:rPr>
              <w:t>O</w:t>
            </w:r>
            <w:r w:rsidRPr="004B00C3">
              <w:rPr>
                <w:rFonts w:ascii="Times New Roman" w:hAnsi="Times New Roman" w:cs="Times New Roman"/>
                <w:sz w:val="24"/>
                <w:szCs w:val="24"/>
                <w:vertAlign w:val="subscript"/>
              </w:rPr>
              <w:t>2</w:t>
            </w:r>
          </w:p>
          <w:p w14:paraId="10FE46C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6</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12</w:t>
            </w:r>
            <w:r w:rsidRPr="004B00C3">
              <w:rPr>
                <w:rFonts w:ascii="Times New Roman" w:hAnsi="Times New Roman" w:cs="Times New Roman"/>
                <w:sz w:val="24"/>
                <w:szCs w:val="24"/>
              </w:rPr>
              <w:t>O</w:t>
            </w:r>
          </w:p>
        </w:tc>
        <w:tc>
          <w:tcPr>
            <w:tcW w:w="1843" w:type="dxa"/>
            <w:vAlign w:val="center"/>
          </w:tcPr>
          <w:p w14:paraId="05EE545B" w14:textId="77777777" w:rsidR="00BA6401" w:rsidRPr="004B00C3" w:rsidRDefault="00BA6401" w:rsidP="004B00C3">
            <w:pPr>
              <w:spacing w:line="360" w:lineRule="auto"/>
              <w:jc w:val="both"/>
              <w:rPr>
                <w:rFonts w:ascii="Times New Roman" w:hAnsi="Times New Roman" w:cs="Times New Roman"/>
                <w:sz w:val="24"/>
                <w:szCs w:val="24"/>
                <w:lang w:val="de-DE"/>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&lt;EndNote&gt;&lt;Cite&gt;&lt;Author&gt;Brilli&lt;/Author&gt;&lt;Year&gt;2014&lt;/Year&gt;&lt;RecNum&gt;20&lt;/RecNum&gt;&lt;DisplayText&gt;(Brilli et al., 2014)&lt;/DisplayText&gt;&lt;record&gt;&lt;rec-number&gt;20&lt;/rec-number&gt;&lt;foreign-keys&gt;&lt;key app="EN" db-id="prs2xedr3axx04epdfs5t2wbraw2vzrp9vxd"&gt;20&lt;/key&gt;&lt;/foreign-keys&gt;&lt;ref-type name="Journal Article"&gt;17&lt;/ref-type&gt;&lt;contributors&gt;&lt;authors&gt;&lt;author&gt;Brilli, Federico&lt;/author&gt;&lt;author&gt;Gioli, Beniamino&lt;/author&gt;&lt;author&gt;Ciccioli, Paolo&lt;/author&gt;&lt;author&gt;Zona, Donatella&lt;/author&gt;&lt;author&gt;Loreto, Francesco&lt;/author&gt;&lt;author&gt;Janssens, Ivan A&lt;/author&gt;&lt;author&gt;Ceulemans, Reinhart&lt;/author&gt;&lt;/authors&gt;&lt;/contributors&gt;&lt;titles&gt;&lt;title&gt;Proton Transfer Reaction Time-of-Flight Mass Spectrometric (PTR-TOF-MS) determination of volatile organic compounds (VOCs) emitted from a biomass fire developed under stable nocturnal conditions&lt;/title&gt;&lt;secondary-title&gt;Atmospheric environment&lt;/secondary-title&gt;&lt;/titles&gt;&lt;periodical&gt;&lt;full-title&gt;Atmospheric Environment&lt;/full-title&gt;&lt;abbr-1&gt;Atmos. Environ.&lt;/abbr-1&gt;&lt;/periodical&gt;&lt;pages&gt;54-67&lt;/pages&gt;&lt;volume&gt;97&lt;/volume&gt;&lt;dates&gt;&lt;year&gt;2014&lt;/year&gt;&lt;/dates&gt;&lt;isbn&gt;1352-2310&lt;/isbn&gt;&lt;urls&gt;&lt;/urls&gt;&lt;/record&gt;&lt;/Cite&gt;&lt;/EndNote&gt;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1" w:tooltip="Brilli, 2014 #20" w:history="1">
              <w:r w:rsidRPr="004B00C3">
                <w:rPr>
                  <w:rFonts w:ascii="Times New Roman" w:hAnsi="Times New Roman" w:cs="Times New Roman"/>
                  <w:noProof/>
                  <w:sz w:val="24"/>
                  <w:szCs w:val="24"/>
                </w:rPr>
                <w:t>Brilli et al., 2014</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326D78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13.5</w:t>
            </w:r>
          </w:p>
        </w:tc>
        <w:tc>
          <w:tcPr>
            <w:tcW w:w="1134" w:type="dxa"/>
            <w:vAlign w:val="center"/>
          </w:tcPr>
          <w:p w14:paraId="2427909E"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1.574</w:t>
            </w:r>
          </w:p>
        </w:tc>
        <w:tc>
          <w:tcPr>
            <w:tcW w:w="993" w:type="dxa"/>
            <w:vAlign w:val="center"/>
          </w:tcPr>
          <w:p w14:paraId="1CE3BBD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2.935 (1.273)</w:t>
            </w:r>
          </w:p>
        </w:tc>
      </w:tr>
      <w:tr w:rsidR="004B00C3" w:rsidRPr="004B00C3" w14:paraId="15EC26D5" w14:textId="77777777" w:rsidTr="00B0000C">
        <w:tc>
          <w:tcPr>
            <w:tcW w:w="704" w:type="dxa"/>
            <w:vAlign w:val="center"/>
          </w:tcPr>
          <w:p w14:paraId="597830C9"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105</w:t>
            </w:r>
          </w:p>
        </w:tc>
        <w:tc>
          <w:tcPr>
            <w:tcW w:w="1701" w:type="dxa"/>
            <w:vAlign w:val="center"/>
          </w:tcPr>
          <w:p w14:paraId="72F46D9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Styrene</w:t>
            </w:r>
          </w:p>
        </w:tc>
        <w:tc>
          <w:tcPr>
            <w:tcW w:w="1276" w:type="dxa"/>
            <w:vAlign w:val="center"/>
          </w:tcPr>
          <w:p w14:paraId="261CA97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8</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8</w:t>
            </w:r>
          </w:p>
        </w:tc>
        <w:tc>
          <w:tcPr>
            <w:tcW w:w="1843" w:type="dxa"/>
            <w:vAlign w:val="center"/>
          </w:tcPr>
          <w:p w14:paraId="349D5CC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fldData xml:space="preserve">PEVuZE5vdGU+PENpdGU+PEF1dGhvcj5kZSBHb3V3PC9BdXRob3I+PFllYXI+MjAwNzwvWWVhcj48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=
</w:fldData>
              </w:fldChar>
            </w:r>
            <w:r w:rsidRPr="004B00C3">
              <w:rPr>
                <w:rFonts w:ascii="Times New Roman" w:hAnsi="Times New Roman" w:cs="Times New Roman"/>
                <w:sz w:val="24"/>
                <w:szCs w:val="24"/>
              </w:rPr>
              <w:instrText xml:space="preserve"> ADDIN EN.CITE </w:instrText>
            </w:r>
            <w:r w:rsidRPr="004B00C3">
              <w:rPr>
                <w:rFonts w:ascii="Times New Roman" w:hAnsi="Times New Roman" w:cs="Times New Roman"/>
                <w:sz w:val="24"/>
                <w:szCs w:val="24"/>
              </w:rPr>
              <w:fldChar w:fldCharType="begin">
                <w:fldData xml:space="preserve">PEVuZE5vdGU+PENpdGU+PEF1dGhvcj5kZSBHb3V3PC9BdXRob3I+PFllYXI+MjAwNzwvWWVhcj48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=
</w:fldData>
              </w:fldChar>
            </w:r>
            <w:r w:rsidRPr="004B00C3">
              <w:rPr>
                <w:rFonts w:ascii="Times New Roman" w:hAnsi="Times New Roman" w:cs="Times New Roman"/>
                <w:sz w:val="24"/>
                <w:szCs w:val="24"/>
              </w:rPr>
              <w:instrText xml:space="preserve"> ADDIN EN.CITE.DATA </w:instrText>
            </w:r>
            <w:r w:rsidRPr="004B00C3">
              <w:rPr>
                <w:rFonts w:ascii="Times New Roman" w:hAnsi="Times New Roman" w:cs="Times New Roman"/>
                <w:sz w:val="24"/>
                <w:szCs w:val="24"/>
              </w:rPr>
            </w:r>
            <w:r w:rsidRPr="004B00C3">
              <w:rPr>
                <w:rFonts w:ascii="Times New Roman" w:hAnsi="Times New Roman" w:cs="Times New Roman"/>
                <w:sz w:val="24"/>
                <w:szCs w:val="24"/>
              </w:rPr>
              <w:fldChar w:fldCharType="end"/>
            </w:r>
            <w:r w:rsidRPr="004B00C3">
              <w:rPr>
                <w:rFonts w:ascii="Times New Roman" w:hAnsi="Times New Roman" w:cs="Times New Roman"/>
                <w:sz w:val="24"/>
                <w:szCs w:val="24"/>
              </w:rPr>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21" w:tooltip="Yokelson, 2013 #22" w:history="1">
              <w:r w:rsidRPr="004B00C3">
                <w:rPr>
                  <w:rFonts w:ascii="Times New Roman" w:hAnsi="Times New Roman" w:cs="Times New Roman"/>
                  <w:noProof/>
                  <w:sz w:val="24"/>
                  <w:szCs w:val="24"/>
                </w:rPr>
                <w:t>Yokelson et al., 2013</w:t>
              </w:r>
            </w:hyperlink>
            <w:r w:rsidRPr="004B00C3">
              <w:rPr>
                <w:rFonts w:ascii="Times New Roman" w:hAnsi="Times New Roman" w:cs="Times New Roman"/>
                <w:noProof/>
                <w:sz w:val="24"/>
                <w:szCs w:val="24"/>
              </w:rPr>
              <w:t>;</w:t>
            </w:r>
            <w:hyperlink w:anchor="_ENREF_17" w:tooltip="Stockwell, 2015 #13" w:history="1">
              <w:r w:rsidRPr="004B00C3">
                <w:rPr>
                  <w:rFonts w:ascii="Times New Roman" w:hAnsi="Times New Roman" w:cs="Times New Roman"/>
                  <w:noProof/>
                  <w:sz w:val="24"/>
                  <w:szCs w:val="24"/>
                </w:rPr>
                <w:t>Stockwell et al., 2015</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13FDC48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13.1</w:t>
            </w:r>
          </w:p>
        </w:tc>
        <w:tc>
          <w:tcPr>
            <w:tcW w:w="1134" w:type="dxa"/>
            <w:vAlign w:val="center"/>
          </w:tcPr>
          <w:p w14:paraId="0969D87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1.637</w:t>
            </w:r>
          </w:p>
        </w:tc>
        <w:tc>
          <w:tcPr>
            <w:tcW w:w="993" w:type="dxa"/>
            <w:vAlign w:val="center"/>
          </w:tcPr>
          <w:p w14:paraId="3CA15FFC"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1.477 (1.112)</w:t>
            </w:r>
          </w:p>
        </w:tc>
      </w:tr>
      <w:tr w:rsidR="004B00C3" w:rsidRPr="004B00C3" w14:paraId="617EDD4C" w14:textId="77777777" w:rsidTr="00B0000C">
        <w:tc>
          <w:tcPr>
            <w:tcW w:w="704" w:type="dxa"/>
            <w:vAlign w:val="center"/>
          </w:tcPr>
          <w:p w14:paraId="1F9A7C8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107</w:t>
            </w:r>
          </w:p>
        </w:tc>
        <w:tc>
          <w:tcPr>
            <w:tcW w:w="1701" w:type="dxa"/>
            <w:vAlign w:val="center"/>
          </w:tcPr>
          <w:p w14:paraId="04A7A435"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Ethyl benzene + p-xylene</w:t>
            </w:r>
          </w:p>
        </w:tc>
        <w:tc>
          <w:tcPr>
            <w:tcW w:w="1276" w:type="dxa"/>
            <w:vAlign w:val="center"/>
          </w:tcPr>
          <w:p w14:paraId="2E5326F9" w14:textId="77777777" w:rsidR="00BA6401" w:rsidRPr="004B00C3" w:rsidRDefault="00BA6401" w:rsidP="004B00C3">
            <w:pPr>
              <w:spacing w:line="360" w:lineRule="auto"/>
              <w:jc w:val="both"/>
              <w:rPr>
                <w:rFonts w:ascii="Times New Roman" w:hAnsi="Times New Roman" w:cs="Times New Roman"/>
                <w:sz w:val="24"/>
                <w:szCs w:val="24"/>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8</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10</w:t>
            </w:r>
          </w:p>
        </w:tc>
        <w:tc>
          <w:tcPr>
            <w:tcW w:w="1843" w:type="dxa"/>
            <w:vAlign w:val="center"/>
          </w:tcPr>
          <w:p w14:paraId="470AEE41"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2007;Karl et al.,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Karl&lt;/Author&gt;&lt;Year&gt;2007&lt;/Year&gt;&lt;RecNum&gt;3&lt;/RecNum&gt;&lt;record&gt;&lt;rec-number&gt;3&lt;/rec-number&gt;&lt;foreign-keys&gt;&lt;key app="EN" db-id="prs2xedr3axx04epdfs5t2wbraw2vzrp9vxd"&gt;3&lt;/key&gt;&lt;/foreign-keys&gt;&lt;ref-type name="Journal Article"&gt;17&lt;/ref-type&gt;&lt;contributors&gt;&lt;authors&gt;&lt;author&gt;Karl, TG&lt;/author&gt;&lt;author&gt;Christian, Ted J&lt;/author&gt;&lt;author&gt;Yokelson, Robert J&lt;/author&gt;&lt;author&gt;Artaxo, Paulo&lt;/author&gt;&lt;author&gt;Hao, W Min&lt;/author&gt;&lt;author&gt;Guenther, Alex&lt;/author&gt;&lt;/authors&gt;&lt;/contributors&gt;&lt;titles&gt;&lt;title&gt;The Tropical Forest and Fire Emissions Experiment: method evaluation of volatile organic compound emissions measured by PTR-MS, FTIR, and GC from tropical biomass burning&lt;/title&gt;&lt;secondary-title&gt;Atmospheric Chemistry and Physics&lt;/secondary-title&gt;&lt;/titles&gt;&lt;periodical&gt;&lt;full-title&gt;Atmospheric Chemistry and Physics&lt;/full-title&gt;&lt;abbr-1&gt;Atmos. Chem. Phys.&lt;/abbr-1&gt;&lt;/periodical&gt;&lt;pages&gt;5883-5897&lt;/pages&gt;&lt;volume&gt;7&lt;/volume&gt;&lt;number&gt;22&lt;/number&gt;&lt;dates&gt;&lt;year&gt;2007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09631E9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13.8</w:t>
            </w:r>
          </w:p>
        </w:tc>
        <w:tc>
          <w:tcPr>
            <w:tcW w:w="1134" w:type="dxa"/>
            <w:vAlign w:val="center"/>
          </w:tcPr>
          <w:p w14:paraId="3A9A2F33"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0.501</w:t>
            </w:r>
          </w:p>
        </w:tc>
        <w:tc>
          <w:tcPr>
            <w:tcW w:w="993" w:type="dxa"/>
            <w:vAlign w:val="center"/>
          </w:tcPr>
          <w:p w14:paraId="481179EA"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6.724 (6.381)</w:t>
            </w:r>
          </w:p>
        </w:tc>
      </w:tr>
      <w:tr w:rsidR="004B00C3" w:rsidRPr="004B00C3" w14:paraId="28D1FEA5" w14:textId="77777777" w:rsidTr="00B0000C">
        <w:tc>
          <w:tcPr>
            <w:tcW w:w="704" w:type="dxa"/>
            <w:vAlign w:val="center"/>
          </w:tcPr>
          <w:p w14:paraId="5AFC9DE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121</w:t>
            </w:r>
          </w:p>
        </w:tc>
        <w:tc>
          <w:tcPr>
            <w:tcW w:w="1701" w:type="dxa"/>
            <w:vAlign w:val="center"/>
          </w:tcPr>
          <w:p w14:paraId="5A9007C7" w14:textId="77777777" w:rsidR="00AC7018"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1,2,4-Tri</w:t>
            </w:r>
          </w:p>
          <w:p w14:paraId="284272F9" w14:textId="13E1DAB5"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methylbenzene</w:t>
            </w:r>
          </w:p>
        </w:tc>
        <w:tc>
          <w:tcPr>
            <w:tcW w:w="1276" w:type="dxa"/>
            <w:vAlign w:val="center"/>
          </w:tcPr>
          <w:p w14:paraId="18417BF2"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Style w:val="lrzxr"/>
                <w:rFonts w:ascii="Times New Roman" w:hAnsi="Times New Roman" w:cs="Times New Roman"/>
                <w:sz w:val="24"/>
                <w:szCs w:val="24"/>
                <w:shd w:val="clear" w:color="auto" w:fill="FFFFFF"/>
              </w:rPr>
              <w:t>C</w:t>
            </w:r>
            <w:r w:rsidRPr="004B00C3">
              <w:rPr>
                <w:rStyle w:val="lrzxr"/>
                <w:rFonts w:ascii="Times New Roman" w:hAnsi="Times New Roman" w:cs="Times New Roman"/>
                <w:sz w:val="24"/>
                <w:szCs w:val="24"/>
                <w:shd w:val="clear" w:color="auto" w:fill="FFFFFF"/>
                <w:vertAlign w:val="subscript"/>
              </w:rPr>
              <w:t>9</w:t>
            </w:r>
            <w:r w:rsidRPr="004B00C3">
              <w:rPr>
                <w:rStyle w:val="lrzxr"/>
                <w:rFonts w:ascii="Times New Roman" w:hAnsi="Times New Roman" w:cs="Times New Roman"/>
                <w:sz w:val="24"/>
                <w:szCs w:val="24"/>
                <w:shd w:val="clear" w:color="auto" w:fill="FFFFFF"/>
              </w:rPr>
              <w:t>H</w:t>
            </w:r>
            <w:r w:rsidRPr="004B00C3">
              <w:rPr>
                <w:rStyle w:val="lrzxr"/>
                <w:rFonts w:ascii="Times New Roman" w:hAnsi="Times New Roman" w:cs="Times New Roman"/>
                <w:sz w:val="24"/>
                <w:szCs w:val="24"/>
                <w:shd w:val="clear" w:color="auto" w:fill="FFFFFF"/>
                <w:vertAlign w:val="subscript"/>
              </w:rPr>
              <w:t>12</w:t>
            </w:r>
          </w:p>
        </w:tc>
        <w:tc>
          <w:tcPr>
            <w:tcW w:w="1843" w:type="dxa"/>
            <w:vAlign w:val="center"/>
          </w:tcPr>
          <w:p w14:paraId="233CC35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2007;Karl et al., 2007)&lt;/DisplayText&gt;&lt;record&gt;&lt;rec-number&gt;9&lt;/rec-number&gt;&lt;foreign-keys&gt;&lt;key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Karl&lt;/Author&gt;&lt;Year&gt;2007&lt;/Year&gt;&lt;RecNum&gt;3&lt;/RecNum&gt;&lt;record&gt;&lt;rec-number&gt;3&lt;/rec-number&gt;&lt;foreign-keys&gt;&lt;key app="EN" db-id="prs2xedr3axx04epdfs5t2wbraw2vzrp9vxd"&gt;3&lt;/key&gt;&lt;/foreign-keys&gt;&lt;ref-type name="Journal Article"&gt;17&lt;/ref-type&gt;&lt;contributors&gt;&lt;authors&gt;&lt;author&gt;Karl, TG&lt;/author&gt;&lt;author&gt;Christian, Ted J&lt;/author&gt;&lt;author&gt;Yokelson, Robert J&lt;/author&gt;&lt;author&gt;Artaxo, Paulo&lt;/author&gt;&lt;author&gt;Hao, W Min&lt;/author&gt;&lt;author&gt;Guenther, Alex&lt;/author&gt;&lt;/authors&gt;&lt;/contributors&gt;&lt;titles&gt;&lt;title&gt;The Tropical Forest and Fire Emissions Experiment: method evaluation of volatile organic compound emissions measured by PTR-MS, FTIR, and GC from tropical biomass burning&lt;/title&gt;&lt;secondary-title&gt;Atmospheric Chemistry and Physics&lt;/secondary-title&gt;&lt;/titles&gt;&lt;periodical&gt;&lt;full-title&gt;Atmospheric Chemistry and Physics&lt;/full-title&gt;&lt;abbr-1&gt;Atmos. Chem. Phys.&lt;/abbr-1&gt;&lt;/periodical&gt;&lt;pages&gt;5883-5897&lt;/pages&gt;&lt;volume&gt;7&lt;/volume&gt;&lt;number&gt;22&lt;/number&gt;&lt;dates&gt;&lt;year&gt;2007&lt;/year&gt;&lt;/dates&gt;&lt;isbn&gt;1680-7316&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10" w:tooltip="Karl, 2007 #3" w:history="1">
              <w:r w:rsidRPr="004B00C3">
                <w:rPr>
                  <w:rFonts w:ascii="Times New Roman" w:hAnsi="Times New Roman" w:cs="Times New Roman"/>
                  <w:noProof/>
                  <w:sz w:val="24"/>
                  <w:szCs w:val="24"/>
                </w:rPr>
                <w:t>Karl et al., 2007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6D1DAA14"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11.2</w:t>
            </w:r>
          </w:p>
        </w:tc>
        <w:tc>
          <w:tcPr>
            <w:tcW w:w="1134" w:type="dxa"/>
            <w:vAlign w:val="center"/>
          </w:tcPr>
          <w:p w14:paraId="2612AF3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0.453</w:t>
            </w:r>
          </w:p>
        </w:tc>
        <w:tc>
          <w:tcPr>
            <w:tcW w:w="993" w:type="dxa"/>
            <w:vAlign w:val="center"/>
          </w:tcPr>
          <w:p w14:paraId="35D789E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4.677 (4.102)</w:t>
            </w:r>
          </w:p>
        </w:tc>
      </w:tr>
      <w:tr w:rsidR="00BA62E2" w:rsidRPr="004B00C3" w14:paraId="36248408" w14:textId="77777777" w:rsidTr="00B0000C">
        <w:tc>
          <w:tcPr>
            <w:tcW w:w="704" w:type="dxa"/>
            <w:vAlign w:val="center"/>
          </w:tcPr>
          <w:p w14:paraId="1B22BB5D"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137</w:t>
            </w:r>
          </w:p>
        </w:tc>
        <w:tc>
          <w:tcPr>
            <w:tcW w:w="1701" w:type="dxa"/>
            <w:vAlign w:val="center"/>
          </w:tcPr>
          <w:p w14:paraId="1E7A93D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Sum of Monoterpenes</w:t>
            </w:r>
          </w:p>
        </w:tc>
        <w:tc>
          <w:tcPr>
            <w:tcW w:w="1276" w:type="dxa"/>
            <w:vAlign w:val="center"/>
          </w:tcPr>
          <w:p w14:paraId="5F86434B" w14:textId="77777777" w:rsidR="00BA6401" w:rsidRPr="004B00C3" w:rsidRDefault="00BA6401" w:rsidP="004B00C3">
            <w:pPr>
              <w:spacing w:line="360" w:lineRule="auto"/>
              <w:jc w:val="both"/>
              <w:rPr>
                <w:rFonts w:ascii="Times New Roman" w:hAnsi="Times New Roman" w:cs="Times New Roman"/>
                <w:sz w:val="24"/>
                <w:szCs w:val="24"/>
                <w:shd w:val="clear" w:color="auto" w:fill="FFFFFF"/>
              </w:rPr>
            </w:pPr>
            <w:r w:rsidRPr="004B00C3">
              <w:rPr>
                <w:rFonts w:ascii="Times New Roman" w:hAnsi="Times New Roman" w:cs="Times New Roman"/>
                <w:sz w:val="24"/>
                <w:szCs w:val="24"/>
                <w:shd w:val="clear" w:color="auto" w:fill="FFFFFF"/>
              </w:rPr>
              <w:t>C</w:t>
            </w:r>
            <w:r w:rsidRPr="004B00C3">
              <w:rPr>
                <w:rFonts w:ascii="Times New Roman" w:hAnsi="Times New Roman" w:cs="Times New Roman"/>
                <w:sz w:val="24"/>
                <w:szCs w:val="24"/>
                <w:shd w:val="clear" w:color="auto" w:fill="FFFFFF"/>
                <w:vertAlign w:val="subscript"/>
              </w:rPr>
              <w:t>10</w:t>
            </w:r>
            <w:r w:rsidRPr="004B00C3">
              <w:rPr>
                <w:rFonts w:ascii="Times New Roman" w:hAnsi="Times New Roman" w:cs="Times New Roman"/>
                <w:sz w:val="24"/>
                <w:szCs w:val="24"/>
                <w:shd w:val="clear" w:color="auto" w:fill="FFFFFF"/>
              </w:rPr>
              <w:t>H</w:t>
            </w:r>
            <w:r w:rsidRPr="004B00C3">
              <w:rPr>
                <w:rFonts w:ascii="Times New Roman" w:hAnsi="Times New Roman" w:cs="Times New Roman"/>
                <w:sz w:val="24"/>
                <w:szCs w:val="24"/>
                <w:shd w:val="clear" w:color="auto" w:fill="FFFFFF"/>
                <w:vertAlign w:val="subscript"/>
              </w:rPr>
              <w:t>16</w:t>
            </w:r>
          </w:p>
        </w:tc>
        <w:tc>
          <w:tcPr>
            <w:tcW w:w="1843" w:type="dxa"/>
            <w:vAlign w:val="center"/>
          </w:tcPr>
          <w:p w14:paraId="3CD08A2F"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fldChar w:fldCharType="begin"/>
            </w:r>
            <w:r w:rsidRPr="004B00C3">
              <w:rPr>
                <w:rFonts w:ascii="Times New Roman" w:hAnsi="Times New Roman" w:cs="Times New Roman"/>
                <w:sz w:val="24"/>
                <w:szCs w:val="24"/>
              </w:rPr>
              <w:instrText xml:space="preserve"> ADDIN EN.CITE &lt;EndNote&gt;&lt;Cite&gt;&lt;Author&gt;de Gouw&lt;/Author&gt;&lt;Year&gt;2007&lt;/Year&gt;&lt;RecNum&gt;9&lt;/RecNum&gt;&lt;DisplayText&gt;(de Gouw and Warneke, 2007;Yuan et al., 2017)&lt;/DisplayText&gt;&lt;record&gt;&lt;rec-number&gt;9&lt;/rec-number&gt;&lt;foreign-keys&gt;&lt;key app="EN" db-id="prs2xedr3axx04epdfs5t2wbraw2vzrp9vxd"&gt;9&lt;/key&gt;&lt;/foreign-keys&gt;&lt;ref-type name="Journal Article"&gt;17&lt;/ref-type&gt;&lt;contributors&gt;&lt;authors&gt;&lt;author&gt;de Gouw, Joost&lt;/author&gt;&lt;author&gt;Warneke, Carsten&lt;/author&gt;&lt;/authors&gt;&lt;/contributors&gt;&lt;titles&gt;&lt;title&gt;Measurements of volatile organic compounds in the earth&amp;apos;s atmosphere using proton‐transfer‐reaction mass spectrometry&lt;/title&gt;&lt;secondary-title&gt;Mass spectrometry reviews&lt;/secondary-title&gt;&lt;/titles&gt;&lt;periodical&gt;&lt;full-title&gt;Mass Spectrometry Reviews&lt;/full-title&gt;&lt;abbr-1&gt;Mass Spectrom. Rev.&lt;/abbr-1&gt;&lt;/periodical&gt;&lt;pages&gt;223-257&lt;/pages&gt;&lt;volume&gt;26&lt;/volume&gt;&lt;number&gt;2&lt;/number&gt;&lt;dates&gt;&lt;year&gt;2007&lt;/year&gt;&lt;/dates&gt;&lt;isbn&gt;0277-7037&lt;/isbn&gt;&lt;urls&gt;&lt;/urls&gt;&lt;/record&gt;&lt;/Cite&gt;&lt;Cite&gt;&lt;Author&gt;Yuan&lt;/Author&gt;&lt;Year&gt;2017&lt;/Year&gt;&lt;RecNum&gt;4&lt;/RecNum&gt;&lt;record&gt;&lt;rec-number&gt;4&lt;/rec-number&gt;&lt;foreign-keys&gt;&lt;key app="EN" db-id="prs2xedr3axx04epdfs5t2wbraw2vzrp9vxd"&gt;4&lt;/key&gt;&lt;/foreign-keys&gt;&lt;ref-type name="Journal Article"&gt;17&lt;/ref-type&gt;&lt;contributors&gt;&lt;authors&gt;&lt;author&gt;Yuan, Bin&lt;/author&gt;&lt;author&gt;Koss, Abigail R&lt;/author&gt;&lt;author&gt;Warneke, Carsten&lt;/author&gt;&lt;author&gt;Coggon, Matthew&lt;/author&gt;&lt;author&gt;Sekimoto, Kanako&lt;/author&gt;&lt;author&gt;de Gouw, Joost A&lt;/author&gt;&lt;/authors&gt;&lt;/contributors&gt;&lt;titles&gt;&lt;title&gt;Proton-transfer-reaction mass spectrometry: Applications in atmospheric sciences&lt;/title&gt;&lt;secondary-title&gt;Chemical reviews&lt;/secondary-title&gt;&lt;/titles&gt;&lt;periodical&gt;&lt;full-title&gt;Chemical Reviews&lt;/full-title&gt;&lt;abbr-1&gt;Chem. Rev.&lt;/abbr-1&gt;&lt;/periodical&gt;&lt;pages&gt;13187-13229&lt;/pages&gt;&lt;volume&gt;117&lt;/volume&gt;&lt;number&gt;21&lt;/number&gt;&lt;dates&gt;&lt;year&gt;2017&lt;/year&gt;&lt;/dates&gt;&lt;isbn&gt;0009-2665&lt;/isbn&gt;&lt;urls&gt;&lt;/urls&gt;&lt;/record&gt;&lt;/Cite&gt;&lt;/EndNote&gt;</w:instrText>
            </w:r>
            <w:r w:rsidRPr="004B00C3">
              <w:rPr>
                <w:rFonts w:ascii="Times New Roman" w:hAnsi="Times New Roman" w:cs="Times New Roman"/>
                <w:sz w:val="24"/>
                <w:szCs w:val="24"/>
              </w:rPr>
              <w:fldChar w:fldCharType="separate"/>
            </w:r>
            <w:r w:rsidRPr="004B00C3">
              <w:rPr>
                <w:rFonts w:ascii="Times New Roman" w:hAnsi="Times New Roman" w:cs="Times New Roman"/>
                <w:noProof/>
                <w:sz w:val="24"/>
                <w:szCs w:val="24"/>
              </w:rPr>
              <w:t>(</w:t>
            </w:r>
            <w:hyperlink w:anchor="_ENREF_4" w:tooltip="de Gouw, 2007 #9" w:history="1">
              <w:r w:rsidRPr="004B00C3">
                <w:rPr>
                  <w:rFonts w:ascii="Times New Roman" w:hAnsi="Times New Roman" w:cs="Times New Roman"/>
                  <w:noProof/>
                  <w:sz w:val="24"/>
                  <w:szCs w:val="24"/>
                </w:rPr>
                <w:t>de Gouw and Warneke, 2007</w:t>
              </w:r>
            </w:hyperlink>
            <w:r w:rsidRPr="004B00C3">
              <w:rPr>
                <w:rFonts w:ascii="Times New Roman" w:hAnsi="Times New Roman" w:cs="Times New Roman"/>
                <w:noProof/>
                <w:sz w:val="24"/>
                <w:szCs w:val="24"/>
              </w:rPr>
              <w:t>;</w:t>
            </w:r>
            <w:hyperlink w:anchor="_ENREF_22" w:tooltip="Yuan, 2017 #4" w:history="1">
              <w:r w:rsidRPr="004B00C3">
                <w:rPr>
                  <w:rFonts w:ascii="Times New Roman" w:hAnsi="Times New Roman" w:cs="Times New Roman"/>
                  <w:noProof/>
                  <w:sz w:val="24"/>
                  <w:szCs w:val="24"/>
                </w:rPr>
                <w:t>Yuan et al., 2017</w:t>
              </w:r>
            </w:hyperlink>
            <w:r w:rsidRPr="004B00C3">
              <w:rPr>
                <w:rFonts w:ascii="Times New Roman" w:hAnsi="Times New Roman" w:cs="Times New Roman"/>
                <w:noProof/>
                <w:sz w:val="24"/>
                <w:szCs w:val="24"/>
              </w:rPr>
              <w:t>)</w:t>
            </w:r>
            <w:r w:rsidRPr="004B00C3">
              <w:rPr>
                <w:rFonts w:ascii="Times New Roman" w:hAnsi="Times New Roman" w:cs="Times New Roman"/>
                <w:sz w:val="24"/>
                <w:szCs w:val="24"/>
              </w:rPr>
              <w:fldChar w:fldCharType="end"/>
            </w:r>
          </w:p>
        </w:tc>
        <w:tc>
          <w:tcPr>
            <w:tcW w:w="1275" w:type="dxa"/>
            <w:vAlign w:val="center"/>
          </w:tcPr>
          <w:p w14:paraId="2752032B"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7.9</w:t>
            </w:r>
          </w:p>
        </w:tc>
        <w:tc>
          <w:tcPr>
            <w:tcW w:w="1134" w:type="dxa"/>
            <w:vAlign w:val="center"/>
          </w:tcPr>
          <w:p w14:paraId="10505726"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2.141</w:t>
            </w:r>
          </w:p>
        </w:tc>
        <w:tc>
          <w:tcPr>
            <w:tcW w:w="993" w:type="dxa"/>
            <w:vAlign w:val="center"/>
          </w:tcPr>
          <w:p w14:paraId="752C0E10" w14:textId="77777777" w:rsidR="00BA6401" w:rsidRPr="004B00C3" w:rsidRDefault="00BA640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3.779 (1.577)</w:t>
            </w:r>
          </w:p>
        </w:tc>
      </w:tr>
    </w:tbl>
    <w:p w14:paraId="2ECDD9D3" w14:textId="77777777" w:rsidR="00BA6401" w:rsidRPr="004B00C3" w:rsidRDefault="00BA6401" w:rsidP="004B00C3">
      <w:pPr>
        <w:spacing w:line="360" w:lineRule="auto"/>
        <w:jc w:val="both"/>
        <w:rPr>
          <w:rFonts w:ascii="Times New Roman" w:hAnsi="Times New Roman" w:cs="Times New Roman"/>
          <w:sz w:val="24"/>
          <w:szCs w:val="24"/>
        </w:rPr>
      </w:pPr>
    </w:p>
    <w:p w14:paraId="6F4EB9D3" w14:textId="63556F36" w:rsidR="00645C48" w:rsidRPr="004B00C3" w:rsidRDefault="00645C48" w:rsidP="004B00C3">
      <w:pPr>
        <w:pStyle w:val="Heading3"/>
        <w:spacing w:line="360" w:lineRule="auto"/>
        <w:jc w:val="both"/>
        <w:rPr>
          <w:rFonts w:ascii="Times New Roman" w:hAnsi="Times New Roman" w:cs="Times New Roman"/>
          <w:b/>
          <w:bCs/>
          <w:color w:val="auto"/>
        </w:rPr>
      </w:pPr>
      <w:bookmarkStart w:id="29" w:name="_Toc146809845"/>
      <w:r w:rsidRPr="004B00C3">
        <w:rPr>
          <w:rFonts w:ascii="Times New Roman" w:hAnsi="Times New Roman" w:cs="Times New Roman"/>
          <w:b/>
          <w:bCs/>
          <w:color w:val="auto"/>
        </w:rPr>
        <w:t>Positive matrix factorization model</w:t>
      </w:r>
      <w:bookmarkEnd w:id="29"/>
    </w:p>
    <w:p w14:paraId="106ECED2" w14:textId="77777777" w:rsidR="001E2FD7"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In the current study, the US EPA PMF 5.0 receptor model (Norris et al., 2014) was applied to the ambient VOC dataset (in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from May 2012 measured at the IISER-Mohali Atmospheric chemistry facility, comprising a data matrix of 721 samples (rows) and 32 species (columns). The EPA PMF</w:t>
      </w:r>
      <w:r w:rsidR="00AD5D90"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5.0 receptor model (Paatero et al., 2014; Norris </w:t>
      </w:r>
      <w:r w:rsidRPr="004B00C3">
        <w:rPr>
          <w:rFonts w:ascii="Times New Roman" w:hAnsi="Times New Roman" w:cs="Times New Roman"/>
          <w:sz w:val="24"/>
          <w:szCs w:val="24"/>
        </w:rPr>
        <w:lastRenderedPageBreak/>
        <w:t xml:space="preserve">et al., 2014) is a multivariate factor analysis tool (Paatero and Tapper, 1994; Paatero, 1997), which decomposes the data matrix </w:t>
      </w:r>
      <w:r w:rsidRPr="004B00C3">
        <w:rPr>
          <w:rFonts w:ascii="Times New Roman" w:hAnsi="Times New Roman" w:cs="Times New Roman"/>
          <w:i/>
          <w:iCs/>
          <w:sz w:val="24"/>
          <w:szCs w:val="24"/>
        </w:rPr>
        <w:t>x</w:t>
      </w:r>
      <w:r w:rsidRPr="004B00C3">
        <w:rPr>
          <w:rFonts w:ascii="Times New Roman" w:hAnsi="Times New Roman" w:cs="Times New Roman"/>
          <w:i/>
          <w:iCs/>
          <w:sz w:val="24"/>
          <w:szCs w:val="24"/>
          <w:vertAlign w:val="subscript"/>
        </w:rPr>
        <w:t>ij</w:t>
      </w:r>
      <w:r w:rsidRPr="004B00C3">
        <w:rPr>
          <w:rFonts w:ascii="Times New Roman" w:hAnsi="Times New Roman" w:cs="Times New Roman"/>
          <w:sz w:val="24"/>
          <w:szCs w:val="24"/>
        </w:rPr>
        <w:t xml:space="preserve"> with </w:t>
      </w:r>
      <w:r w:rsidRPr="004B00C3">
        <w:rPr>
          <w:rFonts w:ascii="Times New Roman" w:hAnsi="Times New Roman" w:cs="Times New Roman"/>
          <w:i/>
          <w:iCs/>
          <w:sz w:val="24"/>
          <w:szCs w:val="24"/>
        </w:rPr>
        <w:t>i</w:t>
      </w:r>
      <w:r w:rsidRPr="004B00C3">
        <w:rPr>
          <w:rFonts w:ascii="Times New Roman" w:hAnsi="Times New Roman" w:cs="Times New Roman"/>
          <w:sz w:val="24"/>
          <w:szCs w:val="24"/>
        </w:rPr>
        <w:t xml:space="preserve"> number of samples and </w:t>
      </w:r>
      <w:r w:rsidRPr="004B00C3">
        <w:rPr>
          <w:rFonts w:ascii="Times New Roman" w:hAnsi="Times New Roman" w:cs="Times New Roman"/>
          <w:i/>
          <w:iCs/>
          <w:sz w:val="24"/>
          <w:szCs w:val="24"/>
        </w:rPr>
        <w:t>j</w:t>
      </w:r>
      <w:r w:rsidRPr="004B00C3">
        <w:rPr>
          <w:rFonts w:ascii="Times New Roman" w:hAnsi="Times New Roman" w:cs="Times New Roman"/>
          <w:sz w:val="24"/>
          <w:szCs w:val="24"/>
        </w:rPr>
        <w:t xml:space="preserve"> number of measured VOCs into</w:t>
      </w:r>
      <w:r w:rsidR="00F943DF"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two matrices, the factor contribution matrix </w:t>
      </w:r>
      <w:r w:rsidRPr="004B00C3">
        <w:rPr>
          <w:rFonts w:ascii="Times New Roman" w:hAnsi="Times New Roman" w:cs="Times New Roman"/>
          <w:i/>
          <w:iCs/>
          <w:sz w:val="24"/>
          <w:szCs w:val="24"/>
        </w:rPr>
        <w:t>g</w:t>
      </w:r>
      <w:r w:rsidRPr="004B00C3">
        <w:rPr>
          <w:rFonts w:ascii="Times New Roman" w:hAnsi="Times New Roman" w:cs="Times New Roman"/>
          <w:i/>
          <w:iCs/>
          <w:sz w:val="24"/>
          <w:szCs w:val="24"/>
          <w:vertAlign w:val="subscript"/>
        </w:rPr>
        <w:t>ik</w:t>
      </w:r>
      <w:r w:rsidR="00F943DF"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(which provides the mass g contributed by each factor to the individual sample) and the factor profiles matrix </w:t>
      </w:r>
      <w:r w:rsidRPr="004B00C3">
        <w:rPr>
          <w:rFonts w:ascii="Times New Roman" w:hAnsi="Times New Roman" w:cs="Times New Roman"/>
          <w:i/>
          <w:iCs/>
          <w:sz w:val="24"/>
          <w:szCs w:val="24"/>
        </w:rPr>
        <w:t>f</w:t>
      </w:r>
      <w:r w:rsidRPr="004B00C3">
        <w:rPr>
          <w:rFonts w:ascii="Times New Roman" w:hAnsi="Times New Roman" w:cs="Times New Roman"/>
          <w:i/>
          <w:iCs/>
          <w:sz w:val="24"/>
          <w:szCs w:val="24"/>
          <w:vertAlign w:val="subscript"/>
        </w:rPr>
        <w:t>kj</w:t>
      </w:r>
      <w:r w:rsidRPr="004B00C3">
        <w:rPr>
          <w:rFonts w:ascii="Times New Roman" w:hAnsi="Times New Roman" w:cs="Times New Roman"/>
          <w:sz w:val="24"/>
          <w:szCs w:val="24"/>
        </w:rPr>
        <w:t xml:space="preserve"> (which provides the source profile/fingerprint of each individual source). Both matrices are established for a user-defined number of sources </w:t>
      </w:r>
      <w:r w:rsidRPr="004B00C3">
        <w:rPr>
          <w:rFonts w:ascii="Times New Roman" w:hAnsi="Times New Roman" w:cs="Times New Roman"/>
          <w:i/>
          <w:iCs/>
          <w:sz w:val="24"/>
          <w:szCs w:val="24"/>
        </w:rPr>
        <w:t>p</w:t>
      </w:r>
      <w:r w:rsidRPr="004B00C3">
        <w:rPr>
          <w:rFonts w:ascii="Times New Roman" w:hAnsi="Times New Roman" w:cs="Times New Roman"/>
          <w:sz w:val="24"/>
          <w:szCs w:val="24"/>
        </w:rPr>
        <w:t xml:space="preserve"> from the existing intrinsic variability in the dataset, leaving behind a matrix of residuals </w:t>
      </w:r>
      <w:r w:rsidRPr="004B00C3">
        <w:rPr>
          <w:rFonts w:ascii="Times New Roman" w:hAnsi="Times New Roman" w:cs="Times New Roman"/>
          <w:i/>
          <w:iCs/>
          <w:sz w:val="24"/>
          <w:szCs w:val="24"/>
        </w:rPr>
        <w:t>e</w:t>
      </w:r>
      <w:r w:rsidRPr="004B00C3">
        <w:rPr>
          <w:rFonts w:ascii="Times New Roman" w:hAnsi="Times New Roman" w:cs="Times New Roman"/>
          <w:i/>
          <w:iCs/>
          <w:sz w:val="24"/>
          <w:szCs w:val="24"/>
          <w:vertAlign w:val="subscript"/>
        </w:rPr>
        <w:t>ij</w:t>
      </w:r>
      <w:r w:rsidRPr="004B00C3">
        <w:rPr>
          <w:rFonts w:ascii="Times New Roman" w:hAnsi="Times New Roman" w:cs="Times New Roman"/>
          <w:sz w:val="24"/>
          <w:szCs w:val="24"/>
        </w:rPr>
        <w:t>.</w:t>
      </w:r>
    </w:p>
    <w:p w14:paraId="456301CE" w14:textId="36BF4ED8" w:rsidR="001E2FD7" w:rsidRPr="004B00C3" w:rsidRDefault="0036384D" w:rsidP="004B00C3">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p</m:t>
            </m:r>
          </m:sup>
          <m:e>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ik</m:t>
                </m:r>
              </m:sub>
            </m:sSub>
          </m:e>
        </m:nary>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kj</m:t>
            </m:r>
          </m:sub>
        </m:sSub>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ij</m:t>
            </m:r>
          </m:sub>
        </m:sSub>
      </m:oMath>
      <w:r w:rsidR="001E2FD7" w:rsidRPr="004B00C3">
        <w:rPr>
          <w:rFonts w:ascii="Times New Roman" w:hAnsi="Times New Roman" w:cs="Times New Roman"/>
          <w:sz w:val="24"/>
          <w:szCs w:val="24"/>
        </w:rPr>
        <w:t xml:space="preserve">                                                                                                                                        (1)</w:t>
      </w:r>
    </w:p>
    <w:p w14:paraId="0745989F" w14:textId="77777777" w:rsidR="00B852E9" w:rsidRPr="004B00C3" w:rsidRDefault="00B852E9" w:rsidP="004B00C3">
      <w:pPr>
        <w:spacing w:after="0" w:line="360" w:lineRule="auto"/>
        <w:jc w:val="both"/>
        <w:rPr>
          <w:rFonts w:ascii="Times New Roman" w:hAnsi="Times New Roman" w:cs="Times New Roman"/>
          <w:sz w:val="24"/>
          <w:szCs w:val="24"/>
        </w:rPr>
      </w:pPr>
      <w:r w:rsidRPr="004B00C3">
        <w:rPr>
          <w:rFonts w:ascii="Times New Roman" w:hAnsi="Times New Roman" w:cs="Times New Roman"/>
          <w:sz w:val="24"/>
          <w:szCs w:val="24"/>
        </w:rPr>
        <w:t>The PMF aims at finding non-negative values of g</w:t>
      </w:r>
      <w:r w:rsidRPr="004B00C3">
        <w:rPr>
          <w:rFonts w:ascii="Times New Roman" w:hAnsi="Times New Roman" w:cs="Times New Roman"/>
          <w:sz w:val="24"/>
          <w:szCs w:val="24"/>
          <w:vertAlign w:val="subscript"/>
        </w:rPr>
        <w:t>ik</w:t>
      </w:r>
      <w:r w:rsidRPr="004B00C3">
        <w:rPr>
          <w:rFonts w:ascii="Times New Roman" w:hAnsi="Times New Roman" w:cs="Times New Roman"/>
          <w:sz w:val="24"/>
          <w:szCs w:val="24"/>
        </w:rPr>
        <w:t xml:space="preserve"> and f</w:t>
      </w:r>
      <w:r w:rsidRPr="004B00C3">
        <w:rPr>
          <w:rFonts w:ascii="Times New Roman" w:hAnsi="Times New Roman" w:cs="Times New Roman"/>
          <w:sz w:val="24"/>
          <w:szCs w:val="24"/>
          <w:vertAlign w:val="subscript"/>
        </w:rPr>
        <w:t>kj</w:t>
      </w:r>
      <w:r w:rsidRPr="004B00C3">
        <w:rPr>
          <w:rFonts w:ascii="Times New Roman" w:hAnsi="Times New Roman" w:cs="Times New Roman"/>
          <w:sz w:val="24"/>
          <w:szCs w:val="24"/>
        </w:rPr>
        <w:t xml:space="preserve"> for a given p that best reproduce x</w:t>
      </w:r>
      <w:r w:rsidRPr="004B00C3">
        <w:rPr>
          <w:rFonts w:ascii="Times New Roman" w:hAnsi="Times New Roman" w:cs="Times New Roman"/>
          <w:sz w:val="24"/>
          <w:szCs w:val="24"/>
          <w:vertAlign w:val="subscript"/>
        </w:rPr>
        <w:t>ij</w:t>
      </w:r>
      <w:r w:rsidRPr="004B00C3">
        <w:rPr>
          <w:rFonts w:ascii="Times New Roman" w:hAnsi="Times New Roman" w:cs="Times New Roman"/>
          <w:sz w:val="24"/>
          <w:szCs w:val="24"/>
        </w:rPr>
        <w:t xml:space="preserve"> while minimizing e</w:t>
      </w:r>
      <w:r w:rsidRPr="004B00C3">
        <w:rPr>
          <w:rFonts w:ascii="Times New Roman" w:hAnsi="Times New Roman" w:cs="Times New Roman"/>
          <w:sz w:val="24"/>
          <w:szCs w:val="24"/>
          <w:vertAlign w:val="subscript"/>
        </w:rPr>
        <w:t>ij.</w:t>
      </w:r>
      <w:r w:rsidRPr="004B00C3">
        <w:rPr>
          <w:rFonts w:ascii="Times New Roman" w:hAnsi="Times New Roman" w:cs="Times New Roman"/>
          <w:sz w:val="24"/>
          <w:szCs w:val="24"/>
        </w:rPr>
        <w:t xml:space="preserve"> The uncertainty weighted residuals are minimized using the parameter Q </w:t>
      </w:r>
    </w:p>
    <w:p w14:paraId="13FCB4C0" w14:textId="77777777" w:rsidR="00B852E9" w:rsidRPr="004B00C3" w:rsidRDefault="00B852E9" w:rsidP="004B00C3">
      <w:pPr>
        <w:spacing w:after="0" w:line="360" w:lineRule="auto"/>
        <w:jc w:val="right"/>
        <w:rPr>
          <w:rFonts w:ascii="Times New Roman" w:hAnsi="Times New Roman" w:cs="Times New Roman"/>
          <w:sz w:val="24"/>
          <w:szCs w:val="24"/>
        </w:rPr>
      </w:pPr>
      <m:oMath>
        <m:r>
          <w:rPr>
            <w:rFonts w:ascii="Cambria Math" w:hAnsi="Cambria Math" w:cs="Times New Roman"/>
            <w:sz w:val="24"/>
            <w:szCs w:val="24"/>
          </w:rPr>
          <m:t xml:space="preserve">Q=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n</m:t>
            </m:r>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m</m:t>
                </m:r>
              </m:sup>
              <m:e>
                <m:sSup>
                  <m:sSupPr>
                    <m:ctrlPr>
                      <w:rPr>
                        <w:rFonts w:ascii="Cambria Math" w:hAnsi="Cambria Math" w:cs="Times New Roman"/>
                        <w:i/>
                        <w:sz w:val="24"/>
                        <w:szCs w:val="24"/>
                      </w:rPr>
                    </m:ctrlPr>
                  </m:sSupPr>
                  <m:e>
                    <m:r>
                      <w:rPr>
                        <w:rFonts w:ascii="Cambria Math" w:hAnsi="Cambria Math" w:cs="Times New Roman"/>
                        <w:sz w:val="24"/>
                        <w:szCs w:val="24"/>
                      </w:rPr>
                      <m:t xml:space="preserve"> </m:t>
                    </m:r>
                    <m:d>
                      <m:dPr>
                        <m:ctrlPr>
                          <w:rPr>
                            <w:rFonts w:ascii="Cambria Math" w:hAnsi="Cambria Math" w:cs="Times New Roman"/>
                            <w:i/>
                            <w:sz w:val="24"/>
                            <w:szCs w:val="24"/>
                          </w:rPr>
                        </m:ctrlPr>
                      </m:dPr>
                      <m:e>
                        <m:r>
                          <w:rPr>
                            <w:rFonts w:ascii="Cambria Math" w:hAnsi="Cambria Math" w:cs="Times New Roman"/>
                            <w:sz w:val="24"/>
                            <w:szCs w:val="24"/>
                          </w:rPr>
                          <m:t xml:space="preserve">  </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p</m:t>
                                </m:r>
                              </m:sup>
                              <m:e>
                                <m:sSub>
                                  <m:sSubPr>
                                    <m:ctrlPr>
                                      <w:rPr>
                                        <w:rFonts w:ascii="Cambria Math" w:hAnsi="Cambria Math"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ik</m:t>
                                    </m:r>
                                  </m:sub>
                                </m:sSub>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kj</m:t>
                                    </m:r>
                                  </m:sub>
                                </m:sSub>
                              </m:e>
                            </m:nary>
                          </m:num>
                          <m:den>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ij</m:t>
                                </m:r>
                              </m:sub>
                            </m:sSub>
                          </m:den>
                        </m:f>
                        <m:r>
                          <w:rPr>
                            <w:rFonts w:ascii="Cambria Math" w:hAnsi="Cambria Math" w:cs="Times New Roman"/>
                            <w:sz w:val="24"/>
                            <w:szCs w:val="24"/>
                          </w:rPr>
                          <m:t xml:space="preserve">  </m:t>
                        </m:r>
                      </m:e>
                    </m:d>
                  </m:e>
                  <m:sup>
                    <m:r>
                      <w:rPr>
                        <w:rFonts w:ascii="Cambria Math" w:hAnsi="Cambria Math" w:cs="Times New Roman"/>
                        <w:sz w:val="24"/>
                        <w:szCs w:val="24"/>
                      </w:rPr>
                      <m:t>2</m:t>
                    </m:r>
                  </m:sup>
                </m:sSup>
              </m:e>
            </m:nary>
          </m:e>
        </m:nary>
        <m:r>
          <w:rPr>
            <w:rFonts w:ascii="Cambria Math" w:hAnsi="Cambria Math" w:cs="Times New Roman"/>
            <w:sz w:val="24"/>
            <w:szCs w:val="24"/>
          </w:rPr>
          <m:t xml:space="preserve"> </m:t>
        </m:r>
      </m:oMath>
      <w:r w:rsidRPr="004B00C3">
        <w:rPr>
          <w:rFonts w:ascii="Times New Roman" w:hAnsi="Times New Roman" w:cs="Times New Roman"/>
          <w:sz w:val="24"/>
          <w:szCs w:val="24"/>
        </w:rPr>
        <w:t xml:space="preserve">                                   (2)</w:t>
      </w:r>
    </w:p>
    <w:p w14:paraId="64407F79" w14:textId="4A8A695E" w:rsidR="00B852E9" w:rsidRPr="004B00C3" w:rsidRDefault="00B852E9"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wherein u</w:t>
      </w:r>
      <w:r w:rsidRPr="004B00C3">
        <w:rPr>
          <w:rFonts w:ascii="Times New Roman" w:hAnsi="Times New Roman" w:cs="Times New Roman"/>
          <w:sz w:val="24"/>
          <w:szCs w:val="24"/>
          <w:vertAlign w:val="subscript"/>
        </w:rPr>
        <w:t>ij</w:t>
      </w:r>
      <w:r w:rsidRPr="004B00C3">
        <w:rPr>
          <w:rFonts w:ascii="Times New Roman" w:hAnsi="Times New Roman" w:cs="Times New Roman"/>
          <w:sz w:val="24"/>
          <w:szCs w:val="24"/>
        </w:rPr>
        <w:t xml:space="preserve"> represents the matrix of measurement uncertainties for each data point and each species. Here, n and m represents the number of samples and number of species respectively. </w:t>
      </w:r>
    </w:p>
    <w:p w14:paraId="2753346D" w14:textId="6CF4B6EB"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A detailed description of the </w:t>
      </w:r>
      <w:r w:rsidR="007C0746" w:rsidRPr="004B00C3">
        <w:rPr>
          <w:rFonts w:ascii="Times New Roman" w:hAnsi="Times New Roman" w:cs="Times New Roman"/>
          <w:sz w:val="24"/>
          <w:szCs w:val="24"/>
        </w:rPr>
        <w:t xml:space="preserve">PMF </w:t>
      </w:r>
      <w:r w:rsidRPr="004B00C3">
        <w:rPr>
          <w:rFonts w:ascii="Times New Roman" w:hAnsi="Times New Roman" w:cs="Times New Roman"/>
          <w:sz w:val="24"/>
          <w:szCs w:val="24"/>
        </w:rPr>
        <w:t xml:space="preserve">model can be found elsewhere (Paatero and Tapper, 1994; Paatero, 1997; Paatero et al., 2014; Norris et al., 2014). The two primary advantages of the PMF over other source receptor modeling tools are its inherent non-negative constraints (Hopke, 2016) and its capability to optimally weigh individual data points and assign uncertainties, which makes it possible to include less robust species that can be useful for defining real sources. The EPAv5.0 model is superior when compared to other source receptor modeling tools as it contains advanced rotational features (Paatero and Hopke, 2009) which allow the rotational ambiguity to be constrained in a manner that pushes the PMF solution towards the </w:t>
      </w:r>
      <w:r w:rsidR="00683C28" w:rsidRPr="004B00C3">
        <w:rPr>
          <w:rFonts w:ascii="Times New Roman" w:hAnsi="Times New Roman" w:cs="Times New Roman"/>
          <w:sz w:val="24"/>
          <w:szCs w:val="24"/>
        </w:rPr>
        <w:t>real-world</w:t>
      </w:r>
      <w:r w:rsidRPr="004B00C3">
        <w:rPr>
          <w:rFonts w:ascii="Times New Roman" w:hAnsi="Times New Roman" w:cs="Times New Roman"/>
          <w:sz w:val="24"/>
          <w:szCs w:val="24"/>
        </w:rPr>
        <w:t xml:space="preserve"> space.</w:t>
      </w:r>
      <w:r w:rsidR="00E71C9F" w:rsidRPr="004B00C3">
        <w:rPr>
          <w:rFonts w:ascii="Times New Roman" w:hAnsi="Times New Roman" w:cs="Times New Roman"/>
          <w:sz w:val="24"/>
          <w:szCs w:val="24"/>
        </w:rPr>
        <w:t xml:space="preserve"> Source receptor modelling using PMF model is extensively employed in environmental air quality studies for source apportionment and air quality management.</w:t>
      </w:r>
    </w:p>
    <w:p w14:paraId="62A35CE0" w14:textId="77777777" w:rsidR="007D4486"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All 32 species were assigned a fixed 20 % in the uncertainty, which represents the largest uncertainty estimated for</w:t>
      </w:r>
      <w:r w:rsidR="00727721"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strong compounds, to avoid a situation where the difference in the assigned uncertainty drives the PMF to dedicate a separate factor towards minimizing the Q of a single compound with low uncertainty (toluene) by taking it out of all other </w:t>
      </w:r>
      <w:r w:rsidRPr="004B00C3">
        <w:rPr>
          <w:rFonts w:ascii="Times New Roman" w:hAnsi="Times New Roman" w:cs="Times New Roman"/>
          <w:sz w:val="24"/>
          <w:szCs w:val="24"/>
        </w:rPr>
        <w:lastRenderedPageBreak/>
        <w:t xml:space="preserve">source profiles and opening a separate factor profile containing just a single compound. A total of 18 were identified as weak based on the signal-to-noise ratio and the presence of potential isobaric interferences as detailed in Table </w:t>
      </w:r>
      <w:r w:rsidR="00957993" w:rsidRPr="004B00C3">
        <w:rPr>
          <w:rFonts w:ascii="Times New Roman" w:hAnsi="Times New Roman" w:cs="Times New Roman"/>
          <w:sz w:val="24"/>
          <w:szCs w:val="24"/>
        </w:rPr>
        <w:t>3.</w:t>
      </w:r>
      <w:r w:rsidRPr="004B00C3">
        <w:rPr>
          <w:rFonts w:ascii="Times New Roman" w:hAnsi="Times New Roman" w:cs="Times New Roman"/>
          <w:sz w:val="24"/>
          <w:szCs w:val="24"/>
        </w:rPr>
        <w:t xml:space="preserve">2. For weak species, the PMF model triples the stated uncertainty to reduce their impact on the model’s solution. Designating sources with isobaric interferences as weak is warranted, because when two sources with different temporal profiles (nighttime combustion and daytime biogenic emission or nighttime combustion and daytime photochemistry) could potentially contribute different compounds to the same m/z ratio, zero values are almost absent in that particular column of the matrix and the tracer is affected by additional uncertainty not appropriately expressed by merely looking at the instrumental measurement error and the signal- to-noise ratio. When this column is made “weak” and given a higher uncertainty, other “strong” tracers, representing a single compound, define source profiles and this reduces the rotational ambiguity of the model. The “weak” compounds with isobaric interferences tend to be distributed among the source profiles available as per the solution that minimizes Q but they do not define any of the profiles. </w:t>
      </w:r>
    </w:p>
    <w:p w14:paraId="3F71600F" w14:textId="3D995580" w:rsidR="007D4486" w:rsidRPr="004B00C3" w:rsidRDefault="00BC2A0F" w:rsidP="00366EB0">
      <w:pPr>
        <w:pStyle w:val="Caption"/>
        <w:spacing w:line="360" w:lineRule="auto"/>
        <w:jc w:val="both"/>
        <w:rPr>
          <w:rFonts w:ascii="Times New Roman" w:hAnsi="Times New Roman" w:cs="Times New Roman"/>
          <w:color w:val="auto"/>
          <w:sz w:val="24"/>
          <w:szCs w:val="24"/>
        </w:rPr>
      </w:pPr>
      <w:bookmarkStart w:id="30" w:name="_Toc133580158"/>
      <w:r w:rsidRPr="004B00C3">
        <w:rPr>
          <w:rFonts w:ascii="Times New Roman" w:hAnsi="Times New Roman" w:cs="Times New Roman"/>
          <w:color w:val="auto"/>
          <w:sz w:val="24"/>
          <w:szCs w:val="24"/>
        </w:rPr>
        <w:t xml:space="preserve">Table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Table_3.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2</w:t>
      </w:r>
      <w:r w:rsidRPr="004B00C3">
        <w:rPr>
          <w:rFonts w:ascii="Times New Roman" w:hAnsi="Times New Roman" w:cs="Times New Roman"/>
          <w:color w:val="auto"/>
          <w:sz w:val="24"/>
          <w:szCs w:val="24"/>
        </w:rPr>
        <w:fldChar w:fldCharType="end"/>
      </w:r>
      <w:r w:rsidR="007D4486" w:rsidRPr="004B00C3">
        <w:rPr>
          <w:rFonts w:ascii="Times New Roman" w:hAnsi="Times New Roman" w:cs="Times New Roman"/>
          <w:color w:val="auto"/>
          <w:sz w:val="24"/>
          <w:szCs w:val="24"/>
        </w:rPr>
        <w:t xml:space="preserve"> Input data statistics for PMF Model runs.</w:t>
      </w:r>
      <w:bookmarkEnd w:id="30"/>
    </w:p>
    <w:tbl>
      <w:tblPr>
        <w:tblStyle w:val="TableGrid"/>
        <w:tblW w:w="9021" w:type="dxa"/>
        <w:tblInd w:w="-5" w:type="dxa"/>
        <w:tblLook w:val="04A0" w:firstRow="1" w:lastRow="0" w:firstColumn="1" w:lastColumn="0" w:noHBand="0" w:noVBand="1"/>
      </w:tblPr>
      <w:tblGrid>
        <w:gridCol w:w="2546"/>
        <w:gridCol w:w="1222"/>
        <w:gridCol w:w="723"/>
        <w:gridCol w:w="890"/>
        <w:gridCol w:w="888"/>
        <w:gridCol w:w="1003"/>
        <w:gridCol w:w="876"/>
        <w:gridCol w:w="876"/>
      </w:tblGrid>
      <w:tr w:rsidR="004B00C3" w:rsidRPr="004B00C3" w14:paraId="365D6CFE" w14:textId="77777777" w:rsidTr="00646FA9">
        <w:trPr>
          <w:trHeight w:val="380"/>
        </w:trPr>
        <w:tc>
          <w:tcPr>
            <w:tcW w:w="2546" w:type="dxa"/>
          </w:tcPr>
          <w:p w14:paraId="7B7EF6D0"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VOC Species</w:t>
            </w:r>
          </w:p>
        </w:tc>
        <w:tc>
          <w:tcPr>
            <w:tcW w:w="1222" w:type="dxa"/>
          </w:tcPr>
          <w:p w14:paraId="50CF81D2"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Category</w:t>
            </w:r>
          </w:p>
        </w:tc>
        <w:tc>
          <w:tcPr>
            <w:tcW w:w="723" w:type="dxa"/>
          </w:tcPr>
          <w:p w14:paraId="43B443A9"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S/N</w:t>
            </w:r>
          </w:p>
        </w:tc>
        <w:tc>
          <w:tcPr>
            <w:tcW w:w="890" w:type="dxa"/>
          </w:tcPr>
          <w:p w14:paraId="75947339"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Min</w:t>
            </w:r>
          </w:p>
        </w:tc>
        <w:tc>
          <w:tcPr>
            <w:tcW w:w="888" w:type="dxa"/>
          </w:tcPr>
          <w:p w14:paraId="5B1540D3"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25th</w:t>
            </w:r>
          </w:p>
        </w:tc>
        <w:tc>
          <w:tcPr>
            <w:tcW w:w="1002" w:type="dxa"/>
          </w:tcPr>
          <w:p w14:paraId="5964C6E0"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Median</w:t>
            </w:r>
          </w:p>
        </w:tc>
        <w:tc>
          <w:tcPr>
            <w:tcW w:w="875" w:type="dxa"/>
          </w:tcPr>
          <w:p w14:paraId="0A2E729E"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75th</w:t>
            </w:r>
          </w:p>
        </w:tc>
        <w:tc>
          <w:tcPr>
            <w:tcW w:w="875" w:type="dxa"/>
          </w:tcPr>
          <w:p w14:paraId="32EFD8D0"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b/>
                <w:bCs/>
                <w:sz w:val="24"/>
                <w:szCs w:val="24"/>
                <w:lang w:eastAsia="en-IN"/>
              </w:rPr>
              <w:t>Max</w:t>
            </w:r>
          </w:p>
        </w:tc>
      </w:tr>
      <w:tr w:rsidR="004B00C3" w:rsidRPr="004B00C3" w14:paraId="722B1C0E" w14:textId="77777777" w:rsidTr="00646FA9">
        <w:trPr>
          <w:trHeight w:val="389"/>
        </w:trPr>
        <w:tc>
          <w:tcPr>
            <w:tcW w:w="2546" w:type="dxa"/>
            <w:vAlign w:val="bottom"/>
          </w:tcPr>
          <w:p w14:paraId="392B266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Isoprene/Furan</w:t>
            </w:r>
          </w:p>
        </w:tc>
        <w:tc>
          <w:tcPr>
            <w:tcW w:w="1222" w:type="dxa"/>
          </w:tcPr>
          <w:p w14:paraId="476D77B1"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Weak</w:t>
            </w:r>
          </w:p>
        </w:tc>
        <w:tc>
          <w:tcPr>
            <w:tcW w:w="723" w:type="dxa"/>
            <w:vAlign w:val="bottom"/>
          </w:tcPr>
          <w:p w14:paraId="4D958A3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3.89</w:t>
            </w:r>
          </w:p>
        </w:tc>
        <w:tc>
          <w:tcPr>
            <w:tcW w:w="890" w:type="dxa"/>
            <w:vAlign w:val="bottom"/>
          </w:tcPr>
          <w:p w14:paraId="7CE3E2F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1.25</w:t>
            </w:r>
          </w:p>
        </w:tc>
        <w:tc>
          <w:tcPr>
            <w:tcW w:w="888" w:type="dxa"/>
            <w:vAlign w:val="bottom"/>
          </w:tcPr>
          <w:p w14:paraId="4D8774D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2.78</w:t>
            </w:r>
          </w:p>
        </w:tc>
        <w:tc>
          <w:tcPr>
            <w:tcW w:w="1002" w:type="dxa"/>
            <w:vAlign w:val="bottom"/>
          </w:tcPr>
          <w:p w14:paraId="609A958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3.48</w:t>
            </w:r>
          </w:p>
        </w:tc>
        <w:tc>
          <w:tcPr>
            <w:tcW w:w="875" w:type="dxa"/>
            <w:vAlign w:val="bottom"/>
          </w:tcPr>
          <w:p w14:paraId="2568319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4.82</w:t>
            </w:r>
          </w:p>
        </w:tc>
        <w:tc>
          <w:tcPr>
            <w:tcW w:w="875" w:type="dxa"/>
            <w:vAlign w:val="bottom"/>
          </w:tcPr>
          <w:p w14:paraId="29425E5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11.48</w:t>
            </w:r>
          </w:p>
        </w:tc>
      </w:tr>
      <w:tr w:rsidR="004B00C3" w:rsidRPr="004B00C3" w14:paraId="658568CB" w14:textId="77777777" w:rsidTr="00646FA9">
        <w:trPr>
          <w:trHeight w:val="380"/>
        </w:trPr>
        <w:tc>
          <w:tcPr>
            <w:tcW w:w="2546" w:type="dxa"/>
            <w:vAlign w:val="bottom"/>
          </w:tcPr>
          <w:p w14:paraId="7AE0321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Benzene</w:t>
            </w:r>
          </w:p>
        </w:tc>
        <w:tc>
          <w:tcPr>
            <w:tcW w:w="1222" w:type="dxa"/>
          </w:tcPr>
          <w:p w14:paraId="05EF1ABE"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Strong</w:t>
            </w:r>
          </w:p>
        </w:tc>
        <w:tc>
          <w:tcPr>
            <w:tcW w:w="723" w:type="dxa"/>
            <w:vAlign w:val="bottom"/>
          </w:tcPr>
          <w:p w14:paraId="40E191E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3.87</w:t>
            </w:r>
          </w:p>
        </w:tc>
        <w:tc>
          <w:tcPr>
            <w:tcW w:w="890" w:type="dxa"/>
            <w:vAlign w:val="bottom"/>
          </w:tcPr>
          <w:p w14:paraId="28A77BE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0.57</w:t>
            </w:r>
          </w:p>
        </w:tc>
        <w:tc>
          <w:tcPr>
            <w:tcW w:w="888" w:type="dxa"/>
            <w:vAlign w:val="bottom"/>
          </w:tcPr>
          <w:p w14:paraId="3C4901B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1.83</w:t>
            </w:r>
          </w:p>
        </w:tc>
        <w:tc>
          <w:tcPr>
            <w:tcW w:w="1002" w:type="dxa"/>
            <w:vAlign w:val="bottom"/>
          </w:tcPr>
          <w:p w14:paraId="57D4B20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3.21</w:t>
            </w:r>
          </w:p>
        </w:tc>
        <w:tc>
          <w:tcPr>
            <w:tcW w:w="875" w:type="dxa"/>
            <w:vAlign w:val="bottom"/>
          </w:tcPr>
          <w:p w14:paraId="15BEDF3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5.15</w:t>
            </w:r>
          </w:p>
        </w:tc>
        <w:tc>
          <w:tcPr>
            <w:tcW w:w="875" w:type="dxa"/>
            <w:vAlign w:val="bottom"/>
          </w:tcPr>
          <w:p w14:paraId="5685C93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24.64</w:t>
            </w:r>
          </w:p>
        </w:tc>
      </w:tr>
      <w:tr w:rsidR="004B00C3" w:rsidRPr="004B00C3" w14:paraId="74FCD8A6" w14:textId="77777777" w:rsidTr="00646FA9">
        <w:trPr>
          <w:trHeight w:val="389"/>
        </w:trPr>
        <w:tc>
          <w:tcPr>
            <w:tcW w:w="2546" w:type="dxa"/>
            <w:vAlign w:val="bottom"/>
          </w:tcPr>
          <w:p w14:paraId="4A1232D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Toluene</w:t>
            </w:r>
          </w:p>
        </w:tc>
        <w:tc>
          <w:tcPr>
            <w:tcW w:w="1222" w:type="dxa"/>
          </w:tcPr>
          <w:p w14:paraId="3734A4E4"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Strong</w:t>
            </w:r>
          </w:p>
        </w:tc>
        <w:tc>
          <w:tcPr>
            <w:tcW w:w="723" w:type="dxa"/>
            <w:vAlign w:val="bottom"/>
          </w:tcPr>
          <w:p w14:paraId="79A6894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3.93</w:t>
            </w:r>
          </w:p>
        </w:tc>
        <w:tc>
          <w:tcPr>
            <w:tcW w:w="890" w:type="dxa"/>
            <w:vAlign w:val="bottom"/>
          </w:tcPr>
          <w:p w14:paraId="04EE644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0.82</w:t>
            </w:r>
          </w:p>
        </w:tc>
        <w:tc>
          <w:tcPr>
            <w:tcW w:w="888" w:type="dxa"/>
            <w:vAlign w:val="bottom"/>
          </w:tcPr>
          <w:p w14:paraId="488ADEA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3.48</w:t>
            </w:r>
          </w:p>
        </w:tc>
        <w:tc>
          <w:tcPr>
            <w:tcW w:w="1002" w:type="dxa"/>
            <w:vAlign w:val="bottom"/>
          </w:tcPr>
          <w:p w14:paraId="128B753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5.54</w:t>
            </w:r>
          </w:p>
        </w:tc>
        <w:tc>
          <w:tcPr>
            <w:tcW w:w="875" w:type="dxa"/>
            <w:vAlign w:val="bottom"/>
          </w:tcPr>
          <w:p w14:paraId="0B1DB28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9.07</w:t>
            </w:r>
          </w:p>
        </w:tc>
        <w:tc>
          <w:tcPr>
            <w:tcW w:w="875" w:type="dxa"/>
            <w:vAlign w:val="bottom"/>
          </w:tcPr>
          <w:p w14:paraId="0D579BB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49.95</w:t>
            </w:r>
          </w:p>
        </w:tc>
      </w:tr>
      <w:tr w:rsidR="004B00C3" w:rsidRPr="004B00C3" w14:paraId="54B7785F" w14:textId="77777777" w:rsidTr="002E638A">
        <w:trPr>
          <w:trHeight w:val="555"/>
        </w:trPr>
        <w:tc>
          <w:tcPr>
            <w:tcW w:w="2546" w:type="dxa"/>
            <w:vAlign w:val="center"/>
          </w:tcPr>
          <w:p w14:paraId="2310421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Ethyl benzene + p-xylene</w:t>
            </w:r>
          </w:p>
        </w:tc>
        <w:tc>
          <w:tcPr>
            <w:tcW w:w="1222" w:type="dxa"/>
          </w:tcPr>
          <w:p w14:paraId="41C4CB91"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Strong</w:t>
            </w:r>
          </w:p>
        </w:tc>
        <w:tc>
          <w:tcPr>
            <w:tcW w:w="723" w:type="dxa"/>
            <w:vAlign w:val="bottom"/>
          </w:tcPr>
          <w:p w14:paraId="35C257A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3.72</w:t>
            </w:r>
          </w:p>
        </w:tc>
        <w:tc>
          <w:tcPr>
            <w:tcW w:w="890" w:type="dxa"/>
            <w:vAlign w:val="bottom"/>
          </w:tcPr>
          <w:p w14:paraId="7BA8D98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0.80</w:t>
            </w:r>
          </w:p>
        </w:tc>
        <w:tc>
          <w:tcPr>
            <w:tcW w:w="888" w:type="dxa"/>
            <w:vAlign w:val="bottom"/>
          </w:tcPr>
          <w:p w14:paraId="17AD538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2.99</w:t>
            </w:r>
          </w:p>
        </w:tc>
        <w:tc>
          <w:tcPr>
            <w:tcW w:w="1002" w:type="dxa"/>
            <w:vAlign w:val="bottom"/>
          </w:tcPr>
          <w:p w14:paraId="6F69385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4.72</w:t>
            </w:r>
          </w:p>
        </w:tc>
        <w:tc>
          <w:tcPr>
            <w:tcW w:w="875" w:type="dxa"/>
            <w:vAlign w:val="bottom"/>
          </w:tcPr>
          <w:p w14:paraId="32A2DEC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8.07</w:t>
            </w:r>
          </w:p>
        </w:tc>
        <w:tc>
          <w:tcPr>
            <w:tcW w:w="875" w:type="dxa"/>
            <w:vAlign w:val="bottom"/>
          </w:tcPr>
          <w:p w14:paraId="2D48963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62.51</w:t>
            </w:r>
          </w:p>
        </w:tc>
      </w:tr>
      <w:tr w:rsidR="004B00C3" w:rsidRPr="004B00C3" w14:paraId="58368849" w14:textId="77777777" w:rsidTr="00646FA9">
        <w:trPr>
          <w:trHeight w:val="380"/>
        </w:trPr>
        <w:tc>
          <w:tcPr>
            <w:tcW w:w="2546" w:type="dxa"/>
            <w:vAlign w:val="center"/>
          </w:tcPr>
          <w:p w14:paraId="1D91BDC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1,2,4-Trimethylbenzene</w:t>
            </w:r>
          </w:p>
        </w:tc>
        <w:tc>
          <w:tcPr>
            <w:tcW w:w="1222" w:type="dxa"/>
          </w:tcPr>
          <w:p w14:paraId="7B2AA9B9"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Strong</w:t>
            </w:r>
          </w:p>
        </w:tc>
        <w:tc>
          <w:tcPr>
            <w:tcW w:w="723" w:type="dxa"/>
            <w:vAlign w:val="bottom"/>
          </w:tcPr>
          <w:p w14:paraId="2EBE190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3.61</w:t>
            </w:r>
          </w:p>
        </w:tc>
        <w:tc>
          <w:tcPr>
            <w:tcW w:w="890" w:type="dxa"/>
            <w:vAlign w:val="bottom"/>
          </w:tcPr>
          <w:p w14:paraId="4DD27D3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0.54</w:t>
            </w:r>
          </w:p>
        </w:tc>
        <w:tc>
          <w:tcPr>
            <w:tcW w:w="888" w:type="dxa"/>
            <w:vAlign w:val="bottom"/>
          </w:tcPr>
          <w:p w14:paraId="1F1A0A0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2.31</w:t>
            </w:r>
          </w:p>
        </w:tc>
        <w:tc>
          <w:tcPr>
            <w:tcW w:w="1002" w:type="dxa"/>
            <w:vAlign w:val="bottom"/>
          </w:tcPr>
          <w:p w14:paraId="4500B6F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3.38</w:t>
            </w:r>
          </w:p>
        </w:tc>
        <w:tc>
          <w:tcPr>
            <w:tcW w:w="875" w:type="dxa"/>
            <w:vAlign w:val="bottom"/>
          </w:tcPr>
          <w:p w14:paraId="47771F0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5.53</w:t>
            </w:r>
          </w:p>
        </w:tc>
        <w:tc>
          <w:tcPr>
            <w:tcW w:w="875" w:type="dxa"/>
            <w:vAlign w:val="bottom"/>
          </w:tcPr>
          <w:p w14:paraId="3FEF3E5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31.45</w:t>
            </w:r>
          </w:p>
        </w:tc>
      </w:tr>
      <w:tr w:rsidR="004B00C3" w:rsidRPr="004B00C3" w14:paraId="72CBFD87" w14:textId="77777777" w:rsidTr="002E638A">
        <w:trPr>
          <w:trHeight w:val="431"/>
        </w:trPr>
        <w:tc>
          <w:tcPr>
            <w:tcW w:w="2546" w:type="dxa"/>
            <w:vAlign w:val="center"/>
          </w:tcPr>
          <w:p w14:paraId="3F1730B6" w14:textId="1EF40604"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 vinyl ketone/</w:t>
            </w:r>
            <w:r w:rsidR="002E638A" w:rsidRPr="004B00C3">
              <w:rPr>
                <w:rFonts w:ascii="Times New Roman" w:hAnsi="Times New Roman" w:cs="Times New Roman"/>
                <w:sz w:val="24"/>
                <w:szCs w:val="24"/>
              </w:rPr>
              <w:t xml:space="preserve"> </w:t>
            </w:r>
            <w:r w:rsidRPr="004B00C3">
              <w:rPr>
                <w:rFonts w:ascii="Times New Roman" w:hAnsi="Times New Roman" w:cs="Times New Roman"/>
                <w:sz w:val="24"/>
                <w:szCs w:val="24"/>
              </w:rPr>
              <w:t>hydrocarbon fragments</w:t>
            </w:r>
          </w:p>
        </w:tc>
        <w:tc>
          <w:tcPr>
            <w:tcW w:w="1222" w:type="dxa"/>
          </w:tcPr>
          <w:p w14:paraId="77B487F0"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Weak</w:t>
            </w:r>
          </w:p>
        </w:tc>
        <w:tc>
          <w:tcPr>
            <w:tcW w:w="723" w:type="dxa"/>
            <w:vAlign w:val="bottom"/>
          </w:tcPr>
          <w:p w14:paraId="63CFE98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2.10</w:t>
            </w:r>
          </w:p>
        </w:tc>
        <w:tc>
          <w:tcPr>
            <w:tcW w:w="890" w:type="dxa"/>
            <w:vAlign w:val="bottom"/>
          </w:tcPr>
          <w:p w14:paraId="3A3E330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0.56</w:t>
            </w:r>
          </w:p>
        </w:tc>
        <w:tc>
          <w:tcPr>
            <w:tcW w:w="888" w:type="dxa"/>
            <w:vAlign w:val="bottom"/>
          </w:tcPr>
          <w:p w14:paraId="7F37CD8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1.53</w:t>
            </w:r>
          </w:p>
        </w:tc>
        <w:tc>
          <w:tcPr>
            <w:tcW w:w="1002" w:type="dxa"/>
            <w:vAlign w:val="bottom"/>
          </w:tcPr>
          <w:p w14:paraId="1AD5CE2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2.13</w:t>
            </w:r>
          </w:p>
        </w:tc>
        <w:tc>
          <w:tcPr>
            <w:tcW w:w="875" w:type="dxa"/>
            <w:vAlign w:val="bottom"/>
          </w:tcPr>
          <w:p w14:paraId="1751801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3.44</w:t>
            </w:r>
          </w:p>
        </w:tc>
        <w:tc>
          <w:tcPr>
            <w:tcW w:w="875" w:type="dxa"/>
            <w:vAlign w:val="bottom"/>
          </w:tcPr>
          <w:p w14:paraId="2CAC8DE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8.01</w:t>
            </w:r>
          </w:p>
        </w:tc>
      </w:tr>
      <w:tr w:rsidR="004B00C3" w:rsidRPr="004B00C3" w14:paraId="2FDB7370" w14:textId="77777777" w:rsidTr="00646FA9">
        <w:trPr>
          <w:trHeight w:val="380"/>
        </w:trPr>
        <w:tc>
          <w:tcPr>
            <w:tcW w:w="2546" w:type="dxa"/>
            <w:vAlign w:val="center"/>
          </w:tcPr>
          <w:p w14:paraId="16CA098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 ethyl ketone/butanal</w:t>
            </w:r>
          </w:p>
        </w:tc>
        <w:tc>
          <w:tcPr>
            <w:tcW w:w="1222" w:type="dxa"/>
          </w:tcPr>
          <w:p w14:paraId="5FDB24E0"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Weak</w:t>
            </w:r>
          </w:p>
        </w:tc>
        <w:tc>
          <w:tcPr>
            <w:tcW w:w="723" w:type="dxa"/>
            <w:vAlign w:val="bottom"/>
          </w:tcPr>
          <w:p w14:paraId="75229A1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2.43</w:t>
            </w:r>
          </w:p>
        </w:tc>
        <w:tc>
          <w:tcPr>
            <w:tcW w:w="890" w:type="dxa"/>
            <w:vAlign w:val="bottom"/>
          </w:tcPr>
          <w:p w14:paraId="4B7F243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0.88</w:t>
            </w:r>
          </w:p>
        </w:tc>
        <w:tc>
          <w:tcPr>
            <w:tcW w:w="888" w:type="dxa"/>
            <w:vAlign w:val="bottom"/>
          </w:tcPr>
          <w:p w14:paraId="679D88E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1.88</w:t>
            </w:r>
          </w:p>
        </w:tc>
        <w:tc>
          <w:tcPr>
            <w:tcW w:w="1002" w:type="dxa"/>
            <w:vAlign w:val="bottom"/>
          </w:tcPr>
          <w:p w14:paraId="2199085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2.77</w:t>
            </w:r>
          </w:p>
        </w:tc>
        <w:tc>
          <w:tcPr>
            <w:tcW w:w="875" w:type="dxa"/>
            <w:vAlign w:val="bottom"/>
          </w:tcPr>
          <w:p w14:paraId="06E1BAF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4.02</w:t>
            </w:r>
          </w:p>
        </w:tc>
        <w:tc>
          <w:tcPr>
            <w:tcW w:w="875" w:type="dxa"/>
            <w:vAlign w:val="bottom"/>
          </w:tcPr>
          <w:p w14:paraId="1CCE428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9.54</w:t>
            </w:r>
          </w:p>
        </w:tc>
      </w:tr>
      <w:tr w:rsidR="004B00C3" w:rsidRPr="004B00C3" w14:paraId="365AAF1B" w14:textId="77777777" w:rsidTr="00646FA9">
        <w:trPr>
          <w:trHeight w:val="380"/>
        </w:trPr>
        <w:tc>
          <w:tcPr>
            <w:tcW w:w="2546" w:type="dxa"/>
            <w:vAlign w:val="bottom"/>
          </w:tcPr>
          <w:p w14:paraId="10E8583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Acetic acid</w:t>
            </w:r>
          </w:p>
        </w:tc>
        <w:tc>
          <w:tcPr>
            <w:tcW w:w="1222" w:type="dxa"/>
          </w:tcPr>
          <w:p w14:paraId="3C8D2F97" w14:textId="77777777" w:rsidR="007D4486" w:rsidRPr="004B00C3" w:rsidRDefault="007D4486" w:rsidP="004B00C3">
            <w:pPr>
              <w:spacing w:line="360" w:lineRule="auto"/>
              <w:jc w:val="both"/>
              <w:rPr>
                <w:rFonts w:ascii="Times New Roman" w:hAnsi="Times New Roman" w:cs="Times New Roman"/>
                <w:b/>
                <w:sz w:val="24"/>
                <w:szCs w:val="24"/>
              </w:rPr>
            </w:pPr>
            <w:r w:rsidRPr="004B00C3">
              <w:rPr>
                <w:rFonts w:ascii="Times New Roman" w:eastAsia="Times New Roman" w:hAnsi="Times New Roman" w:cs="Times New Roman"/>
                <w:sz w:val="24"/>
                <w:szCs w:val="24"/>
                <w:lang w:eastAsia="en-IN"/>
              </w:rPr>
              <w:t>Strong</w:t>
            </w:r>
          </w:p>
        </w:tc>
        <w:tc>
          <w:tcPr>
            <w:tcW w:w="723" w:type="dxa"/>
            <w:vAlign w:val="bottom"/>
          </w:tcPr>
          <w:p w14:paraId="0F67862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3.97</w:t>
            </w:r>
          </w:p>
        </w:tc>
        <w:tc>
          <w:tcPr>
            <w:tcW w:w="890" w:type="dxa"/>
            <w:vAlign w:val="bottom"/>
          </w:tcPr>
          <w:p w14:paraId="1191646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5.54</w:t>
            </w:r>
          </w:p>
        </w:tc>
        <w:tc>
          <w:tcPr>
            <w:tcW w:w="888" w:type="dxa"/>
            <w:vAlign w:val="bottom"/>
          </w:tcPr>
          <w:p w14:paraId="11C570A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18.64</w:t>
            </w:r>
          </w:p>
        </w:tc>
        <w:tc>
          <w:tcPr>
            <w:tcW w:w="1002" w:type="dxa"/>
            <w:vAlign w:val="bottom"/>
          </w:tcPr>
          <w:p w14:paraId="5E806B9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28.18</w:t>
            </w:r>
          </w:p>
        </w:tc>
        <w:tc>
          <w:tcPr>
            <w:tcW w:w="875" w:type="dxa"/>
            <w:vAlign w:val="bottom"/>
          </w:tcPr>
          <w:p w14:paraId="7FACA2B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38.53</w:t>
            </w:r>
          </w:p>
        </w:tc>
        <w:tc>
          <w:tcPr>
            <w:tcW w:w="875" w:type="dxa"/>
            <w:vAlign w:val="bottom"/>
          </w:tcPr>
          <w:p w14:paraId="1CEC753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107.72</w:t>
            </w:r>
          </w:p>
        </w:tc>
      </w:tr>
      <w:tr w:rsidR="004B00C3" w:rsidRPr="004B00C3" w14:paraId="15ED20F8" w14:textId="77777777" w:rsidTr="00646FA9">
        <w:trPr>
          <w:trHeight w:val="278"/>
        </w:trPr>
        <w:tc>
          <w:tcPr>
            <w:tcW w:w="2546" w:type="dxa"/>
            <w:noWrap/>
            <w:vAlign w:val="bottom"/>
          </w:tcPr>
          <w:p w14:paraId="4FFC61A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Dimethyl sulfide</w:t>
            </w:r>
          </w:p>
        </w:tc>
        <w:tc>
          <w:tcPr>
            <w:tcW w:w="1222" w:type="dxa"/>
            <w:noWrap/>
            <w:hideMark/>
          </w:tcPr>
          <w:p w14:paraId="203AD1AF" w14:textId="77777777" w:rsidR="007D4486" w:rsidRPr="004B00C3" w:rsidRDefault="007D4486" w:rsidP="004B00C3">
            <w:pPr>
              <w:spacing w:line="360" w:lineRule="auto"/>
              <w:jc w:val="both"/>
              <w:rPr>
                <w:rFonts w:ascii="Times New Roman" w:eastAsia="Times New Roman" w:hAnsi="Times New Roman" w:cs="Times New Roman"/>
                <w:b/>
                <w:bCs/>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0B8AD8C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0.74</w:t>
            </w:r>
          </w:p>
        </w:tc>
        <w:tc>
          <w:tcPr>
            <w:tcW w:w="890" w:type="dxa"/>
            <w:noWrap/>
            <w:vAlign w:val="bottom"/>
          </w:tcPr>
          <w:p w14:paraId="68AB189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0.32</w:t>
            </w:r>
          </w:p>
        </w:tc>
        <w:tc>
          <w:tcPr>
            <w:tcW w:w="888" w:type="dxa"/>
            <w:noWrap/>
            <w:vAlign w:val="bottom"/>
          </w:tcPr>
          <w:p w14:paraId="06DB51F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0.67</w:t>
            </w:r>
          </w:p>
        </w:tc>
        <w:tc>
          <w:tcPr>
            <w:tcW w:w="1002" w:type="dxa"/>
            <w:noWrap/>
            <w:vAlign w:val="bottom"/>
          </w:tcPr>
          <w:p w14:paraId="26E3526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0.95</w:t>
            </w:r>
          </w:p>
        </w:tc>
        <w:tc>
          <w:tcPr>
            <w:tcW w:w="875" w:type="dxa"/>
            <w:noWrap/>
            <w:vAlign w:val="bottom"/>
          </w:tcPr>
          <w:p w14:paraId="79DD410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1.10</w:t>
            </w:r>
          </w:p>
        </w:tc>
        <w:tc>
          <w:tcPr>
            <w:tcW w:w="875" w:type="dxa"/>
            <w:noWrap/>
            <w:vAlign w:val="bottom"/>
          </w:tcPr>
          <w:p w14:paraId="3814EDA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2.41</w:t>
            </w:r>
          </w:p>
        </w:tc>
      </w:tr>
      <w:tr w:rsidR="004B00C3" w:rsidRPr="004B00C3" w14:paraId="2C3FC2F6" w14:textId="77777777" w:rsidTr="00646FA9">
        <w:trPr>
          <w:trHeight w:val="278"/>
        </w:trPr>
        <w:tc>
          <w:tcPr>
            <w:tcW w:w="2546" w:type="dxa"/>
            <w:noWrap/>
            <w:vAlign w:val="bottom"/>
          </w:tcPr>
          <w:p w14:paraId="451677A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Pyrrole</w:t>
            </w:r>
          </w:p>
        </w:tc>
        <w:tc>
          <w:tcPr>
            <w:tcW w:w="1222" w:type="dxa"/>
            <w:noWrap/>
            <w:hideMark/>
          </w:tcPr>
          <w:p w14:paraId="09F905EE"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3165412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0.14</w:t>
            </w:r>
          </w:p>
        </w:tc>
        <w:tc>
          <w:tcPr>
            <w:tcW w:w="890" w:type="dxa"/>
            <w:noWrap/>
            <w:vAlign w:val="bottom"/>
          </w:tcPr>
          <w:p w14:paraId="1480FF7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0.09</w:t>
            </w:r>
          </w:p>
        </w:tc>
        <w:tc>
          <w:tcPr>
            <w:tcW w:w="888" w:type="dxa"/>
            <w:noWrap/>
            <w:vAlign w:val="bottom"/>
          </w:tcPr>
          <w:p w14:paraId="33D41AB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0.37</w:t>
            </w:r>
          </w:p>
        </w:tc>
        <w:tc>
          <w:tcPr>
            <w:tcW w:w="1002" w:type="dxa"/>
            <w:noWrap/>
            <w:vAlign w:val="bottom"/>
          </w:tcPr>
          <w:p w14:paraId="6B12C78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0.54</w:t>
            </w:r>
          </w:p>
        </w:tc>
        <w:tc>
          <w:tcPr>
            <w:tcW w:w="875" w:type="dxa"/>
            <w:noWrap/>
            <w:vAlign w:val="bottom"/>
          </w:tcPr>
          <w:p w14:paraId="4A7E9F4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0.66</w:t>
            </w:r>
          </w:p>
        </w:tc>
        <w:tc>
          <w:tcPr>
            <w:tcW w:w="875" w:type="dxa"/>
            <w:noWrap/>
            <w:vAlign w:val="bottom"/>
          </w:tcPr>
          <w:p w14:paraId="76B22B9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2.50</w:t>
            </w:r>
          </w:p>
        </w:tc>
      </w:tr>
      <w:tr w:rsidR="004B00C3" w:rsidRPr="004B00C3" w14:paraId="5F9CB223" w14:textId="77777777" w:rsidTr="00646FA9">
        <w:trPr>
          <w:trHeight w:val="291"/>
        </w:trPr>
        <w:tc>
          <w:tcPr>
            <w:tcW w:w="2546" w:type="dxa"/>
            <w:noWrap/>
            <w:vAlign w:val="bottom"/>
          </w:tcPr>
          <w:p w14:paraId="6929AAAF" w14:textId="77777777" w:rsidR="00646FA9"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Propanamide/</w:t>
            </w:r>
          </w:p>
          <w:p w14:paraId="25270F57" w14:textId="6F7B52F0"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Butylamine</w:t>
            </w:r>
          </w:p>
        </w:tc>
        <w:tc>
          <w:tcPr>
            <w:tcW w:w="1222" w:type="dxa"/>
            <w:noWrap/>
            <w:hideMark/>
          </w:tcPr>
          <w:p w14:paraId="66844A61"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7C2659E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0.75</w:t>
            </w:r>
          </w:p>
        </w:tc>
        <w:tc>
          <w:tcPr>
            <w:tcW w:w="890" w:type="dxa"/>
            <w:noWrap/>
            <w:vAlign w:val="bottom"/>
          </w:tcPr>
          <w:p w14:paraId="6653FDF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0.37</w:t>
            </w:r>
          </w:p>
        </w:tc>
        <w:tc>
          <w:tcPr>
            <w:tcW w:w="888" w:type="dxa"/>
            <w:noWrap/>
            <w:vAlign w:val="bottom"/>
          </w:tcPr>
          <w:p w14:paraId="3F438B2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0.86</w:t>
            </w:r>
          </w:p>
        </w:tc>
        <w:tc>
          <w:tcPr>
            <w:tcW w:w="1002" w:type="dxa"/>
            <w:noWrap/>
            <w:vAlign w:val="bottom"/>
          </w:tcPr>
          <w:p w14:paraId="1D3F4D5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1.07</w:t>
            </w:r>
          </w:p>
        </w:tc>
        <w:tc>
          <w:tcPr>
            <w:tcW w:w="875" w:type="dxa"/>
            <w:noWrap/>
            <w:vAlign w:val="bottom"/>
          </w:tcPr>
          <w:p w14:paraId="2087A09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1.24</w:t>
            </w:r>
          </w:p>
        </w:tc>
        <w:tc>
          <w:tcPr>
            <w:tcW w:w="875" w:type="dxa"/>
            <w:noWrap/>
            <w:vAlign w:val="bottom"/>
          </w:tcPr>
          <w:p w14:paraId="0E29408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2.32</w:t>
            </w:r>
          </w:p>
        </w:tc>
      </w:tr>
      <w:tr w:rsidR="004B00C3" w:rsidRPr="004B00C3" w14:paraId="334ABED8" w14:textId="77777777" w:rsidTr="00646FA9">
        <w:trPr>
          <w:trHeight w:val="291"/>
        </w:trPr>
        <w:tc>
          <w:tcPr>
            <w:tcW w:w="2546" w:type="dxa"/>
            <w:vAlign w:val="bottom"/>
          </w:tcPr>
          <w:p w14:paraId="196ACCA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Hydroxyacetone</w:t>
            </w:r>
          </w:p>
        </w:tc>
        <w:tc>
          <w:tcPr>
            <w:tcW w:w="1222" w:type="dxa"/>
            <w:noWrap/>
            <w:hideMark/>
          </w:tcPr>
          <w:p w14:paraId="313AA1CD"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315DFB9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2.81</w:t>
            </w:r>
          </w:p>
        </w:tc>
        <w:tc>
          <w:tcPr>
            <w:tcW w:w="890" w:type="dxa"/>
            <w:noWrap/>
            <w:vAlign w:val="bottom"/>
          </w:tcPr>
          <w:p w14:paraId="7D8A43B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0.98</w:t>
            </w:r>
          </w:p>
        </w:tc>
        <w:tc>
          <w:tcPr>
            <w:tcW w:w="888" w:type="dxa"/>
            <w:noWrap/>
            <w:vAlign w:val="bottom"/>
          </w:tcPr>
          <w:p w14:paraId="3C55D97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2.50</w:t>
            </w:r>
          </w:p>
        </w:tc>
        <w:tc>
          <w:tcPr>
            <w:tcW w:w="1002" w:type="dxa"/>
            <w:noWrap/>
            <w:vAlign w:val="bottom"/>
          </w:tcPr>
          <w:p w14:paraId="4483A2F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3.91</w:t>
            </w:r>
          </w:p>
        </w:tc>
        <w:tc>
          <w:tcPr>
            <w:tcW w:w="875" w:type="dxa"/>
            <w:noWrap/>
            <w:vAlign w:val="bottom"/>
          </w:tcPr>
          <w:p w14:paraId="09107CB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5.75</w:t>
            </w:r>
          </w:p>
        </w:tc>
        <w:tc>
          <w:tcPr>
            <w:tcW w:w="875" w:type="dxa"/>
            <w:noWrap/>
            <w:vAlign w:val="bottom"/>
          </w:tcPr>
          <w:p w14:paraId="588CF97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16.24</w:t>
            </w:r>
          </w:p>
        </w:tc>
      </w:tr>
      <w:tr w:rsidR="004B00C3" w:rsidRPr="004B00C3" w14:paraId="39D7DB64" w14:textId="77777777" w:rsidTr="00646FA9">
        <w:trPr>
          <w:trHeight w:val="291"/>
        </w:trPr>
        <w:tc>
          <w:tcPr>
            <w:tcW w:w="2546" w:type="dxa"/>
            <w:vAlign w:val="bottom"/>
          </w:tcPr>
          <w:p w14:paraId="558826E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Assorted Hydrocarbons</w:t>
            </w:r>
          </w:p>
        </w:tc>
        <w:tc>
          <w:tcPr>
            <w:tcW w:w="1222" w:type="dxa"/>
            <w:noWrap/>
            <w:hideMark/>
          </w:tcPr>
          <w:p w14:paraId="634A56B8"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35EDBE0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1.79</w:t>
            </w:r>
          </w:p>
        </w:tc>
        <w:tc>
          <w:tcPr>
            <w:tcW w:w="890" w:type="dxa"/>
            <w:noWrap/>
            <w:vAlign w:val="bottom"/>
          </w:tcPr>
          <w:p w14:paraId="7C9F6BE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0.66</w:t>
            </w:r>
          </w:p>
        </w:tc>
        <w:tc>
          <w:tcPr>
            <w:tcW w:w="888" w:type="dxa"/>
            <w:noWrap/>
            <w:vAlign w:val="bottom"/>
          </w:tcPr>
          <w:p w14:paraId="0AFA7B1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1.38</w:t>
            </w:r>
          </w:p>
        </w:tc>
        <w:tc>
          <w:tcPr>
            <w:tcW w:w="1002" w:type="dxa"/>
            <w:noWrap/>
            <w:vAlign w:val="bottom"/>
          </w:tcPr>
          <w:p w14:paraId="46501D6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2.20</w:t>
            </w:r>
          </w:p>
        </w:tc>
        <w:tc>
          <w:tcPr>
            <w:tcW w:w="875" w:type="dxa"/>
            <w:noWrap/>
            <w:vAlign w:val="bottom"/>
          </w:tcPr>
          <w:p w14:paraId="0A84FDA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3.19</w:t>
            </w:r>
          </w:p>
        </w:tc>
        <w:tc>
          <w:tcPr>
            <w:tcW w:w="875" w:type="dxa"/>
            <w:noWrap/>
            <w:vAlign w:val="bottom"/>
          </w:tcPr>
          <w:p w14:paraId="2B0354C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8.82</w:t>
            </w:r>
          </w:p>
        </w:tc>
      </w:tr>
      <w:tr w:rsidR="004B00C3" w:rsidRPr="004B00C3" w14:paraId="1A27A797" w14:textId="77777777" w:rsidTr="00646FA9">
        <w:trPr>
          <w:trHeight w:val="278"/>
        </w:trPr>
        <w:tc>
          <w:tcPr>
            <w:tcW w:w="2546" w:type="dxa"/>
            <w:noWrap/>
            <w:vAlign w:val="bottom"/>
          </w:tcPr>
          <w:p w14:paraId="29084C4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Assorted Hydrocarbons</w:t>
            </w:r>
          </w:p>
        </w:tc>
        <w:tc>
          <w:tcPr>
            <w:tcW w:w="1222" w:type="dxa"/>
            <w:noWrap/>
            <w:hideMark/>
          </w:tcPr>
          <w:p w14:paraId="3E639F3B"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0EE066F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1.85</w:t>
            </w:r>
          </w:p>
        </w:tc>
        <w:tc>
          <w:tcPr>
            <w:tcW w:w="890" w:type="dxa"/>
            <w:noWrap/>
            <w:vAlign w:val="bottom"/>
          </w:tcPr>
          <w:p w14:paraId="51D9CA1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0.55</w:t>
            </w:r>
          </w:p>
        </w:tc>
        <w:tc>
          <w:tcPr>
            <w:tcW w:w="888" w:type="dxa"/>
            <w:noWrap/>
            <w:vAlign w:val="bottom"/>
          </w:tcPr>
          <w:p w14:paraId="2B2BE54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1.50</w:t>
            </w:r>
          </w:p>
        </w:tc>
        <w:tc>
          <w:tcPr>
            <w:tcW w:w="1002" w:type="dxa"/>
            <w:noWrap/>
            <w:vAlign w:val="bottom"/>
          </w:tcPr>
          <w:p w14:paraId="4E086CE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2.32</w:t>
            </w:r>
          </w:p>
        </w:tc>
        <w:tc>
          <w:tcPr>
            <w:tcW w:w="875" w:type="dxa"/>
            <w:noWrap/>
            <w:vAlign w:val="bottom"/>
          </w:tcPr>
          <w:p w14:paraId="3445A62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3.37</w:t>
            </w:r>
          </w:p>
        </w:tc>
        <w:tc>
          <w:tcPr>
            <w:tcW w:w="875" w:type="dxa"/>
            <w:noWrap/>
            <w:vAlign w:val="bottom"/>
          </w:tcPr>
          <w:p w14:paraId="6F047C7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9.36</w:t>
            </w:r>
          </w:p>
        </w:tc>
      </w:tr>
      <w:tr w:rsidR="004B00C3" w:rsidRPr="004B00C3" w14:paraId="1469C5B5" w14:textId="77777777" w:rsidTr="00646FA9">
        <w:trPr>
          <w:trHeight w:val="291"/>
        </w:trPr>
        <w:tc>
          <w:tcPr>
            <w:tcW w:w="2546" w:type="dxa"/>
            <w:vAlign w:val="bottom"/>
          </w:tcPr>
          <w:p w14:paraId="7E5514E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4</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6</w:t>
            </w:r>
            <w:r w:rsidRPr="004B00C3">
              <w:rPr>
                <w:rFonts w:ascii="Times New Roman" w:hAnsi="Times New Roman" w:cs="Times New Roman"/>
                <w:sz w:val="24"/>
                <w:szCs w:val="24"/>
              </w:rPr>
              <w:t>O</w:t>
            </w:r>
            <w:r w:rsidRPr="004B00C3">
              <w:rPr>
                <w:rFonts w:ascii="Times New Roman" w:hAnsi="Times New Roman" w:cs="Times New Roman"/>
                <w:sz w:val="24"/>
                <w:szCs w:val="24"/>
                <w:vertAlign w:val="subscript"/>
              </w:rPr>
              <w:t>2</w:t>
            </w:r>
          </w:p>
        </w:tc>
        <w:tc>
          <w:tcPr>
            <w:tcW w:w="1222" w:type="dxa"/>
            <w:noWrap/>
            <w:hideMark/>
          </w:tcPr>
          <w:p w14:paraId="21100C4F"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7FB4E84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2.18</w:t>
            </w:r>
          </w:p>
        </w:tc>
        <w:tc>
          <w:tcPr>
            <w:tcW w:w="890" w:type="dxa"/>
            <w:noWrap/>
            <w:vAlign w:val="bottom"/>
          </w:tcPr>
          <w:p w14:paraId="5A3F9A6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0.77</w:t>
            </w:r>
          </w:p>
        </w:tc>
        <w:tc>
          <w:tcPr>
            <w:tcW w:w="888" w:type="dxa"/>
            <w:noWrap/>
            <w:vAlign w:val="bottom"/>
          </w:tcPr>
          <w:p w14:paraId="5513144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1.90</w:t>
            </w:r>
          </w:p>
        </w:tc>
        <w:tc>
          <w:tcPr>
            <w:tcW w:w="1002" w:type="dxa"/>
            <w:noWrap/>
            <w:vAlign w:val="bottom"/>
          </w:tcPr>
          <w:p w14:paraId="57FE67E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2.95</w:t>
            </w:r>
          </w:p>
        </w:tc>
        <w:tc>
          <w:tcPr>
            <w:tcW w:w="875" w:type="dxa"/>
            <w:noWrap/>
            <w:vAlign w:val="bottom"/>
          </w:tcPr>
          <w:p w14:paraId="55E4B68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4.34</w:t>
            </w:r>
          </w:p>
        </w:tc>
        <w:tc>
          <w:tcPr>
            <w:tcW w:w="875" w:type="dxa"/>
            <w:noWrap/>
            <w:vAlign w:val="bottom"/>
          </w:tcPr>
          <w:p w14:paraId="423C0A7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11.88</w:t>
            </w:r>
          </w:p>
        </w:tc>
      </w:tr>
      <w:tr w:rsidR="004B00C3" w:rsidRPr="004B00C3" w14:paraId="6BA4A159" w14:textId="77777777" w:rsidTr="00646FA9">
        <w:trPr>
          <w:trHeight w:val="291"/>
        </w:trPr>
        <w:tc>
          <w:tcPr>
            <w:tcW w:w="2546" w:type="dxa"/>
            <w:noWrap/>
            <w:vAlign w:val="bottom"/>
          </w:tcPr>
          <w:p w14:paraId="38D261C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Phenol</w:t>
            </w:r>
          </w:p>
        </w:tc>
        <w:tc>
          <w:tcPr>
            <w:tcW w:w="1222" w:type="dxa"/>
            <w:noWrap/>
            <w:hideMark/>
          </w:tcPr>
          <w:p w14:paraId="79FD215F"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7EF627C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1.02</w:t>
            </w:r>
          </w:p>
        </w:tc>
        <w:tc>
          <w:tcPr>
            <w:tcW w:w="890" w:type="dxa"/>
            <w:noWrap/>
            <w:vAlign w:val="bottom"/>
          </w:tcPr>
          <w:p w14:paraId="4461F21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0.54</w:t>
            </w:r>
          </w:p>
        </w:tc>
        <w:tc>
          <w:tcPr>
            <w:tcW w:w="888" w:type="dxa"/>
            <w:noWrap/>
            <w:vAlign w:val="bottom"/>
          </w:tcPr>
          <w:p w14:paraId="7C901CC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1.21</w:t>
            </w:r>
          </w:p>
        </w:tc>
        <w:tc>
          <w:tcPr>
            <w:tcW w:w="1002" w:type="dxa"/>
            <w:noWrap/>
            <w:vAlign w:val="bottom"/>
          </w:tcPr>
          <w:p w14:paraId="3FAC539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1.54</w:t>
            </w:r>
          </w:p>
        </w:tc>
        <w:tc>
          <w:tcPr>
            <w:tcW w:w="875" w:type="dxa"/>
            <w:noWrap/>
            <w:vAlign w:val="bottom"/>
          </w:tcPr>
          <w:p w14:paraId="510F66F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2.06</w:t>
            </w:r>
          </w:p>
        </w:tc>
        <w:tc>
          <w:tcPr>
            <w:tcW w:w="875" w:type="dxa"/>
            <w:noWrap/>
            <w:vAlign w:val="bottom"/>
          </w:tcPr>
          <w:p w14:paraId="56ED60B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16.50</w:t>
            </w:r>
          </w:p>
        </w:tc>
      </w:tr>
      <w:tr w:rsidR="004B00C3" w:rsidRPr="004B00C3" w14:paraId="58D93F56" w14:textId="77777777" w:rsidTr="00646FA9">
        <w:trPr>
          <w:trHeight w:val="291"/>
        </w:trPr>
        <w:tc>
          <w:tcPr>
            <w:tcW w:w="2546" w:type="dxa"/>
            <w:vAlign w:val="bottom"/>
          </w:tcPr>
          <w:p w14:paraId="25CED51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C</w:t>
            </w:r>
            <w:r w:rsidRPr="004B00C3">
              <w:rPr>
                <w:rFonts w:ascii="Times New Roman" w:hAnsi="Times New Roman" w:cs="Times New Roman"/>
                <w:sz w:val="24"/>
                <w:szCs w:val="24"/>
                <w:vertAlign w:val="subscript"/>
              </w:rPr>
              <w:t>5</w:t>
            </w:r>
            <w:r w:rsidRPr="004B00C3">
              <w:rPr>
                <w:rFonts w:ascii="Times New Roman" w:hAnsi="Times New Roman" w:cs="Times New Roman"/>
                <w:sz w:val="24"/>
                <w:szCs w:val="24"/>
              </w:rPr>
              <w:t>H</w:t>
            </w:r>
            <w:r w:rsidRPr="004B00C3">
              <w:rPr>
                <w:rFonts w:ascii="Times New Roman" w:hAnsi="Times New Roman" w:cs="Times New Roman"/>
                <w:sz w:val="24"/>
                <w:szCs w:val="24"/>
                <w:vertAlign w:val="subscript"/>
              </w:rPr>
              <w:t>8</w:t>
            </w:r>
            <w:r w:rsidRPr="004B00C3">
              <w:rPr>
                <w:rFonts w:ascii="Times New Roman" w:hAnsi="Times New Roman" w:cs="Times New Roman"/>
                <w:sz w:val="24"/>
                <w:szCs w:val="24"/>
              </w:rPr>
              <w:t>O</w:t>
            </w:r>
            <w:r w:rsidRPr="004B00C3">
              <w:rPr>
                <w:rFonts w:ascii="Times New Roman" w:hAnsi="Times New Roman" w:cs="Times New Roman"/>
                <w:sz w:val="24"/>
                <w:szCs w:val="24"/>
                <w:vertAlign w:val="subscript"/>
              </w:rPr>
              <w:t>2</w:t>
            </w:r>
          </w:p>
        </w:tc>
        <w:tc>
          <w:tcPr>
            <w:tcW w:w="1222" w:type="dxa"/>
            <w:noWrap/>
            <w:hideMark/>
          </w:tcPr>
          <w:p w14:paraId="0AD25DBB"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4362782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1.83</w:t>
            </w:r>
          </w:p>
        </w:tc>
        <w:tc>
          <w:tcPr>
            <w:tcW w:w="890" w:type="dxa"/>
            <w:noWrap/>
            <w:vAlign w:val="bottom"/>
          </w:tcPr>
          <w:p w14:paraId="33A7F98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1.13</w:t>
            </w:r>
          </w:p>
        </w:tc>
        <w:tc>
          <w:tcPr>
            <w:tcW w:w="888" w:type="dxa"/>
            <w:noWrap/>
            <w:vAlign w:val="bottom"/>
          </w:tcPr>
          <w:p w14:paraId="4E1CCB4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2.08</w:t>
            </w:r>
          </w:p>
        </w:tc>
        <w:tc>
          <w:tcPr>
            <w:tcW w:w="1002" w:type="dxa"/>
            <w:noWrap/>
            <w:vAlign w:val="bottom"/>
          </w:tcPr>
          <w:p w14:paraId="41AFE3D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2.64</w:t>
            </w:r>
          </w:p>
        </w:tc>
        <w:tc>
          <w:tcPr>
            <w:tcW w:w="875" w:type="dxa"/>
            <w:noWrap/>
            <w:vAlign w:val="bottom"/>
          </w:tcPr>
          <w:p w14:paraId="13C5C3D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3.39</w:t>
            </w:r>
          </w:p>
        </w:tc>
        <w:tc>
          <w:tcPr>
            <w:tcW w:w="875" w:type="dxa"/>
            <w:noWrap/>
            <w:vAlign w:val="bottom"/>
          </w:tcPr>
          <w:p w14:paraId="24F7FE0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11.64</w:t>
            </w:r>
          </w:p>
        </w:tc>
      </w:tr>
      <w:tr w:rsidR="004B00C3" w:rsidRPr="004B00C3" w14:paraId="3ED887B7" w14:textId="77777777" w:rsidTr="00646FA9">
        <w:trPr>
          <w:trHeight w:val="278"/>
        </w:trPr>
        <w:tc>
          <w:tcPr>
            <w:tcW w:w="2546" w:type="dxa"/>
            <w:noWrap/>
            <w:vAlign w:val="bottom"/>
          </w:tcPr>
          <w:p w14:paraId="215FBC8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Styrene</w:t>
            </w:r>
          </w:p>
        </w:tc>
        <w:tc>
          <w:tcPr>
            <w:tcW w:w="1222" w:type="dxa"/>
            <w:noWrap/>
            <w:hideMark/>
          </w:tcPr>
          <w:p w14:paraId="70D16627"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2C48ECD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0.62</w:t>
            </w:r>
          </w:p>
        </w:tc>
        <w:tc>
          <w:tcPr>
            <w:tcW w:w="890" w:type="dxa"/>
            <w:noWrap/>
            <w:vAlign w:val="bottom"/>
          </w:tcPr>
          <w:p w14:paraId="04B1D12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0.20</w:t>
            </w:r>
          </w:p>
        </w:tc>
        <w:tc>
          <w:tcPr>
            <w:tcW w:w="888" w:type="dxa"/>
            <w:noWrap/>
            <w:vAlign w:val="bottom"/>
          </w:tcPr>
          <w:p w14:paraId="34B102E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0.92</w:t>
            </w:r>
          </w:p>
        </w:tc>
        <w:tc>
          <w:tcPr>
            <w:tcW w:w="1002" w:type="dxa"/>
            <w:noWrap/>
            <w:vAlign w:val="bottom"/>
          </w:tcPr>
          <w:p w14:paraId="05CA4EC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1.21</w:t>
            </w:r>
          </w:p>
        </w:tc>
        <w:tc>
          <w:tcPr>
            <w:tcW w:w="875" w:type="dxa"/>
            <w:noWrap/>
            <w:vAlign w:val="bottom"/>
          </w:tcPr>
          <w:p w14:paraId="3D3D453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1.65</w:t>
            </w:r>
          </w:p>
        </w:tc>
        <w:tc>
          <w:tcPr>
            <w:tcW w:w="875" w:type="dxa"/>
            <w:noWrap/>
            <w:vAlign w:val="bottom"/>
          </w:tcPr>
          <w:p w14:paraId="7294504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9.73</w:t>
            </w:r>
          </w:p>
        </w:tc>
      </w:tr>
      <w:tr w:rsidR="004B00C3" w:rsidRPr="004B00C3" w14:paraId="4298732A" w14:textId="77777777" w:rsidTr="00646FA9">
        <w:trPr>
          <w:trHeight w:val="278"/>
        </w:trPr>
        <w:tc>
          <w:tcPr>
            <w:tcW w:w="2546" w:type="dxa"/>
            <w:noWrap/>
            <w:vAlign w:val="bottom"/>
          </w:tcPr>
          <w:p w14:paraId="13DB3BB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Methanol</w:t>
            </w:r>
          </w:p>
        </w:tc>
        <w:tc>
          <w:tcPr>
            <w:tcW w:w="1222" w:type="dxa"/>
            <w:noWrap/>
            <w:hideMark/>
          </w:tcPr>
          <w:p w14:paraId="5C8FADB5"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0F07CFC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4.00</w:t>
            </w:r>
          </w:p>
        </w:tc>
        <w:tc>
          <w:tcPr>
            <w:tcW w:w="890" w:type="dxa"/>
            <w:noWrap/>
            <w:vAlign w:val="bottom"/>
          </w:tcPr>
          <w:p w14:paraId="39B9A7C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14.98</w:t>
            </w:r>
          </w:p>
        </w:tc>
        <w:tc>
          <w:tcPr>
            <w:tcW w:w="888" w:type="dxa"/>
            <w:noWrap/>
            <w:vAlign w:val="bottom"/>
          </w:tcPr>
          <w:p w14:paraId="2267666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24.28</w:t>
            </w:r>
          </w:p>
        </w:tc>
        <w:tc>
          <w:tcPr>
            <w:tcW w:w="1002" w:type="dxa"/>
            <w:noWrap/>
            <w:vAlign w:val="bottom"/>
          </w:tcPr>
          <w:p w14:paraId="73CF30D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33.86</w:t>
            </w:r>
          </w:p>
        </w:tc>
        <w:tc>
          <w:tcPr>
            <w:tcW w:w="875" w:type="dxa"/>
            <w:noWrap/>
            <w:vAlign w:val="bottom"/>
          </w:tcPr>
          <w:p w14:paraId="6E926CC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45.96</w:t>
            </w:r>
          </w:p>
        </w:tc>
        <w:tc>
          <w:tcPr>
            <w:tcW w:w="875" w:type="dxa"/>
            <w:noWrap/>
            <w:vAlign w:val="bottom"/>
          </w:tcPr>
          <w:p w14:paraId="02639D5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129.91</w:t>
            </w:r>
          </w:p>
        </w:tc>
      </w:tr>
      <w:tr w:rsidR="004B00C3" w:rsidRPr="004B00C3" w14:paraId="6330B9BC" w14:textId="77777777" w:rsidTr="00646FA9">
        <w:trPr>
          <w:trHeight w:val="278"/>
        </w:trPr>
        <w:tc>
          <w:tcPr>
            <w:tcW w:w="2546" w:type="dxa"/>
            <w:noWrap/>
            <w:vAlign w:val="bottom"/>
          </w:tcPr>
          <w:p w14:paraId="6D86FA8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Acetonitrile</w:t>
            </w:r>
          </w:p>
        </w:tc>
        <w:tc>
          <w:tcPr>
            <w:tcW w:w="1222" w:type="dxa"/>
            <w:noWrap/>
            <w:hideMark/>
          </w:tcPr>
          <w:p w14:paraId="6E472ACB"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3B41AED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3.95</w:t>
            </w:r>
          </w:p>
        </w:tc>
        <w:tc>
          <w:tcPr>
            <w:tcW w:w="890" w:type="dxa"/>
            <w:noWrap/>
            <w:vAlign w:val="bottom"/>
          </w:tcPr>
          <w:p w14:paraId="61DD937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0.51</w:t>
            </w:r>
          </w:p>
        </w:tc>
        <w:tc>
          <w:tcPr>
            <w:tcW w:w="888" w:type="dxa"/>
            <w:noWrap/>
            <w:vAlign w:val="bottom"/>
          </w:tcPr>
          <w:p w14:paraId="0C6F5E3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0.97</w:t>
            </w:r>
          </w:p>
        </w:tc>
        <w:tc>
          <w:tcPr>
            <w:tcW w:w="1002" w:type="dxa"/>
            <w:noWrap/>
            <w:vAlign w:val="bottom"/>
          </w:tcPr>
          <w:p w14:paraId="277EA5A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1.50</w:t>
            </w:r>
          </w:p>
        </w:tc>
        <w:tc>
          <w:tcPr>
            <w:tcW w:w="875" w:type="dxa"/>
            <w:noWrap/>
            <w:vAlign w:val="bottom"/>
          </w:tcPr>
          <w:p w14:paraId="40A67FB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2.27</w:t>
            </w:r>
          </w:p>
        </w:tc>
        <w:tc>
          <w:tcPr>
            <w:tcW w:w="875" w:type="dxa"/>
            <w:noWrap/>
            <w:vAlign w:val="bottom"/>
          </w:tcPr>
          <w:p w14:paraId="4E7E6D3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7.23</w:t>
            </w:r>
          </w:p>
        </w:tc>
      </w:tr>
      <w:tr w:rsidR="004B00C3" w:rsidRPr="004B00C3" w14:paraId="7BE6D243" w14:textId="77777777" w:rsidTr="00646FA9">
        <w:trPr>
          <w:trHeight w:val="278"/>
        </w:trPr>
        <w:tc>
          <w:tcPr>
            <w:tcW w:w="2546" w:type="dxa"/>
            <w:noWrap/>
            <w:vAlign w:val="center"/>
          </w:tcPr>
          <w:p w14:paraId="5F524A9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Acetaldehyde</w:t>
            </w:r>
          </w:p>
        </w:tc>
        <w:tc>
          <w:tcPr>
            <w:tcW w:w="1222" w:type="dxa"/>
            <w:noWrap/>
            <w:hideMark/>
          </w:tcPr>
          <w:p w14:paraId="7303A4BE"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6DD407D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3.99</w:t>
            </w:r>
          </w:p>
        </w:tc>
        <w:tc>
          <w:tcPr>
            <w:tcW w:w="890" w:type="dxa"/>
            <w:noWrap/>
            <w:vAlign w:val="bottom"/>
          </w:tcPr>
          <w:p w14:paraId="7A3D452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2.30</w:t>
            </w:r>
          </w:p>
        </w:tc>
        <w:tc>
          <w:tcPr>
            <w:tcW w:w="888" w:type="dxa"/>
            <w:noWrap/>
            <w:vAlign w:val="bottom"/>
          </w:tcPr>
          <w:p w14:paraId="1B91D93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5.13</w:t>
            </w:r>
          </w:p>
        </w:tc>
        <w:tc>
          <w:tcPr>
            <w:tcW w:w="1002" w:type="dxa"/>
            <w:noWrap/>
            <w:vAlign w:val="bottom"/>
          </w:tcPr>
          <w:p w14:paraId="454788F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7.83</w:t>
            </w:r>
          </w:p>
        </w:tc>
        <w:tc>
          <w:tcPr>
            <w:tcW w:w="875" w:type="dxa"/>
            <w:noWrap/>
            <w:vAlign w:val="bottom"/>
          </w:tcPr>
          <w:p w14:paraId="645E787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12.16</w:t>
            </w:r>
          </w:p>
        </w:tc>
        <w:tc>
          <w:tcPr>
            <w:tcW w:w="875" w:type="dxa"/>
            <w:noWrap/>
            <w:vAlign w:val="bottom"/>
          </w:tcPr>
          <w:p w14:paraId="173F8BE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24.69</w:t>
            </w:r>
          </w:p>
        </w:tc>
      </w:tr>
      <w:tr w:rsidR="004B00C3" w:rsidRPr="004B00C3" w14:paraId="30721CB1" w14:textId="77777777" w:rsidTr="00646FA9">
        <w:trPr>
          <w:trHeight w:val="278"/>
        </w:trPr>
        <w:tc>
          <w:tcPr>
            <w:tcW w:w="2546" w:type="dxa"/>
            <w:noWrap/>
            <w:vAlign w:val="center"/>
          </w:tcPr>
          <w:p w14:paraId="611D612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Acetone</w:t>
            </w:r>
          </w:p>
        </w:tc>
        <w:tc>
          <w:tcPr>
            <w:tcW w:w="1222" w:type="dxa"/>
            <w:noWrap/>
            <w:hideMark/>
          </w:tcPr>
          <w:p w14:paraId="3F241484"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6633EA8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4.00</w:t>
            </w:r>
          </w:p>
        </w:tc>
        <w:tc>
          <w:tcPr>
            <w:tcW w:w="890" w:type="dxa"/>
            <w:noWrap/>
            <w:vAlign w:val="bottom"/>
          </w:tcPr>
          <w:p w14:paraId="70B8864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3.58</w:t>
            </w:r>
          </w:p>
        </w:tc>
        <w:tc>
          <w:tcPr>
            <w:tcW w:w="888" w:type="dxa"/>
            <w:noWrap/>
            <w:vAlign w:val="bottom"/>
          </w:tcPr>
          <w:p w14:paraId="7203E75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6.74</w:t>
            </w:r>
          </w:p>
        </w:tc>
        <w:tc>
          <w:tcPr>
            <w:tcW w:w="1002" w:type="dxa"/>
            <w:noWrap/>
            <w:vAlign w:val="bottom"/>
          </w:tcPr>
          <w:p w14:paraId="1AD00D5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9.14</w:t>
            </w:r>
          </w:p>
        </w:tc>
        <w:tc>
          <w:tcPr>
            <w:tcW w:w="875" w:type="dxa"/>
            <w:noWrap/>
            <w:vAlign w:val="bottom"/>
          </w:tcPr>
          <w:p w14:paraId="3A9C96C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12.54</w:t>
            </w:r>
          </w:p>
        </w:tc>
        <w:tc>
          <w:tcPr>
            <w:tcW w:w="875" w:type="dxa"/>
            <w:noWrap/>
            <w:vAlign w:val="bottom"/>
          </w:tcPr>
          <w:p w14:paraId="24501CE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54.48</w:t>
            </w:r>
          </w:p>
        </w:tc>
      </w:tr>
      <w:tr w:rsidR="004B00C3" w:rsidRPr="004B00C3" w14:paraId="06DCFEE7" w14:textId="77777777" w:rsidTr="00646FA9">
        <w:trPr>
          <w:trHeight w:val="278"/>
        </w:trPr>
        <w:tc>
          <w:tcPr>
            <w:tcW w:w="2546" w:type="dxa"/>
            <w:noWrap/>
            <w:vAlign w:val="bottom"/>
          </w:tcPr>
          <w:p w14:paraId="24C38A6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Monoterpenes</w:t>
            </w:r>
          </w:p>
        </w:tc>
        <w:tc>
          <w:tcPr>
            <w:tcW w:w="1222" w:type="dxa"/>
            <w:noWrap/>
            <w:hideMark/>
          </w:tcPr>
          <w:p w14:paraId="7CA1F5B9"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6C5CA5A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1.73</w:t>
            </w:r>
          </w:p>
        </w:tc>
        <w:tc>
          <w:tcPr>
            <w:tcW w:w="890" w:type="dxa"/>
            <w:noWrap/>
            <w:vAlign w:val="bottom"/>
          </w:tcPr>
          <w:p w14:paraId="394BE3C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0.72</w:t>
            </w:r>
          </w:p>
        </w:tc>
        <w:tc>
          <w:tcPr>
            <w:tcW w:w="888" w:type="dxa"/>
            <w:noWrap/>
            <w:vAlign w:val="bottom"/>
          </w:tcPr>
          <w:p w14:paraId="2F6E9A6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2.63</w:t>
            </w:r>
          </w:p>
        </w:tc>
        <w:tc>
          <w:tcPr>
            <w:tcW w:w="1002" w:type="dxa"/>
            <w:noWrap/>
            <w:vAlign w:val="bottom"/>
          </w:tcPr>
          <w:p w14:paraId="4126D32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3.88</w:t>
            </w:r>
          </w:p>
        </w:tc>
        <w:tc>
          <w:tcPr>
            <w:tcW w:w="875" w:type="dxa"/>
            <w:noWrap/>
            <w:vAlign w:val="bottom"/>
          </w:tcPr>
          <w:p w14:paraId="097EBE8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4.62</w:t>
            </w:r>
          </w:p>
        </w:tc>
        <w:tc>
          <w:tcPr>
            <w:tcW w:w="875" w:type="dxa"/>
            <w:noWrap/>
            <w:vAlign w:val="bottom"/>
          </w:tcPr>
          <w:p w14:paraId="5E5F3E1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10.35</w:t>
            </w:r>
          </w:p>
        </w:tc>
      </w:tr>
      <w:tr w:rsidR="004B00C3" w:rsidRPr="004B00C3" w14:paraId="0BA93A70" w14:textId="77777777" w:rsidTr="00646FA9">
        <w:trPr>
          <w:trHeight w:val="278"/>
        </w:trPr>
        <w:tc>
          <w:tcPr>
            <w:tcW w:w="2546" w:type="dxa"/>
            <w:noWrap/>
            <w:vAlign w:val="bottom"/>
          </w:tcPr>
          <w:p w14:paraId="672B868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Formaldehyde</w:t>
            </w:r>
          </w:p>
        </w:tc>
        <w:tc>
          <w:tcPr>
            <w:tcW w:w="1222" w:type="dxa"/>
            <w:noWrap/>
            <w:hideMark/>
          </w:tcPr>
          <w:p w14:paraId="0BD50C77"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074BEAC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3.68</w:t>
            </w:r>
          </w:p>
        </w:tc>
        <w:tc>
          <w:tcPr>
            <w:tcW w:w="890" w:type="dxa"/>
            <w:noWrap/>
            <w:vAlign w:val="bottom"/>
          </w:tcPr>
          <w:p w14:paraId="067A9AF4"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1.68</w:t>
            </w:r>
          </w:p>
        </w:tc>
        <w:tc>
          <w:tcPr>
            <w:tcW w:w="888" w:type="dxa"/>
            <w:noWrap/>
            <w:vAlign w:val="bottom"/>
          </w:tcPr>
          <w:p w14:paraId="2897412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2.69</w:t>
            </w:r>
          </w:p>
        </w:tc>
        <w:tc>
          <w:tcPr>
            <w:tcW w:w="1002" w:type="dxa"/>
            <w:noWrap/>
            <w:vAlign w:val="bottom"/>
          </w:tcPr>
          <w:p w14:paraId="4DAA7B8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3.21</w:t>
            </w:r>
          </w:p>
        </w:tc>
        <w:tc>
          <w:tcPr>
            <w:tcW w:w="875" w:type="dxa"/>
            <w:noWrap/>
            <w:vAlign w:val="bottom"/>
          </w:tcPr>
          <w:p w14:paraId="2052FE5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4.07</w:t>
            </w:r>
          </w:p>
        </w:tc>
        <w:tc>
          <w:tcPr>
            <w:tcW w:w="875" w:type="dxa"/>
            <w:noWrap/>
            <w:vAlign w:val="bottom"/>
          </w:tcPr>
          <w:p w14:paraId="2AF4C7F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6.28</w:t>
            </w:r>
          </w:p>
        </w:tc>
      </w:tr>
      <w:tr w:rsidR="004B00C3" w:rsidRPr="004B00C3" w14:paraId="4DCDEBAF" w14:textId="77777777" w:rsidTr="00646FA9">
        <w:trPr>
          <w:trHeight w:val="278"/>
        </w:trPr>
        <w:tc>
          <w:tcPr>
            <w:tcW w:w="2546" w:type="dxa"/>
            <w:noWrap/>
            <w:vAlign w:val="bottom"/>
          </w:tcPr>
          <w:p w14:paraId="7633820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Propyne</w:t>
            </w:r>
          </w:p>
        </w:tc>
        <w:tc>
          <w:tcPr>
            <w:tcW w:w="1222" w:type="dxa"/>
            <w:noWrap/>
            <w:hideMark/>
          </w:tcPr>
          <w:p w14:paraId="311007E2"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Strong</w:t>
            </w:r>
          </w:p>
        </w:tc>
        <w:tc>
          <w:tcPr>
            <w:tcW w:w="723" w:type="dxa"/>
            <w:noWrap/>
            <w:vAlign w:val="bottom"/>
          </w:tcPr>
          <w:p w14:paraId="4F0B2B9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3.11</w:t>
            </w:r>
          </w:p>
        </w:tc>
        <w:tc>
          <w:tcPr>
            <w:tcW w:w="890" w:type="dxa"/>
            <w:noWrap/>
            <w:vAlign w:val="bottom"/>
          </w:tcPr>
          <w:p w14:paraId="7A93119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0.70</w:t>
            </w:r>
          </w:p>
        </w:tc>
        <w:tc>
          <w:tcPr>
            <w:tcW w:w="888" w:type="dxa"/>
            <w:noWrap/>
            <w:vAlign w:val="bottom"/>
          </w:tcPr>
          <w:p w14:paraId="7715FB3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1.63</w:t>
            </w:r>
          </w:p>
        </w:tc>
        <w:tc>
          <w:tcPr>
            <w:tcW w:w="1002" w:type="dxa"/>
            <w:noWrap/>
            <w:vAlign w:val="bottom"/>
          </w:tcPr>
          <w:p w14:paraId="2153131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2.63</w:t>
            </w:r>
          </w:p>
        </w:tc>
        <w:tc>
          <w:tcPr>
            <w:tcW w:w="875" w:type="dxa"/>
            <w:noWrap/>
            <w:vAlign w:val="bottom"/>
          </w:tcPr>
          <w:p w14:paraId="0B11514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3.98</w:t>
            </w:r>
          </w:p>
        </w:tc>
        <w:tc>
          <w:tcPr>
            <w:tcW w:w="875" w:type="dxa"/>
            <w:noWrap/>
            <w:vAlign w:val="bottom"/>
          </w:tcPr>
          <w:p w14:paraId="3267A91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16.63</w:t>
            </w:r>
          </w:p>
        </w:tc>
      </w:tr>
      <w:tr w:rsidR="004B00C3" w:rsidRPr="004B00C3" w14:paraId="4D0A2544" w14:textId="77777777" w:rsidTr="00646FA9">
        <w:trPr>
          <w:trHeight w:val="291"/>
        </w:trPr>
        <w:tc>
          <w:tcPr>
            <w:tcW w:w="2546" w:type="dxa"/>
            <w:noWrap/>
            <w:vAlign w:val="bottom"/>
          </w:tcPr>
          <w:p w14:paraId="6FD771B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Propene</w:t>
            </w:r>
          </w:p>
        </w:tc>
        <w:tc>
          <w:tcPr>
            <w:tcW w:w="1222" w:type="dxa"/>
            <w:noWrap/>
            <w:hideMark/>
          </w:tcPr>
          <w:p w14:paraId="37333F58"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4411EB2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3.56</w:t>
            </w:r>
          </w:p>
        </w:tc>
        <w:tc>
          <w:tcPr>
            <w:tcW w:w="890" w:type="dxa"/>
            <w:noWrap/>
            <w:vAlign w:val="bottom"/>
          </w:tcPr>
          <w:p w14:paraId="7E7755B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0.94</w:t>
            </w:r>
          </w:p>
        </w:tc>
        <w:tc>
          <w:tcPr>
            <w:tcW w:w="888" w:type="dxa"/>
            <w:noWrap/>
            <w:vAlign w:val="bottom"/>
          </w:tcPr>
          <w:p w14:paraId="432034C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2.92</w:t>
            </w:r>
          </w:p>
        </w:tc>
        <w:tc>
          <w:tcPr>
            <w:tcW w:w="1002" w:type="dxa"/>
            <w:noWrap/>
            <w:vAlign w:val="bottom"/>
          </w:tcPr>
          <w:p w14:paraId="4596AF4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4.71</w:t>
            </w:r>
          </w:p>
        </w:tc>
        <w:tc>
          <w:tcPr>
            <w:tcW w:w="875" w:type="dxa"/>
            <w:noWrap/>
            <w:vAlign w:val="bottom"/>
          </w:tcPr>
          <w:p w14:paraId="40CE4A7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6.79</w:t>
            </w:r>
          </w:p>
        </w:tc>
        <w:tc>
          <w:tcPr>
            <w:tcW w:w="875" w:type="dxa"/>
            <w:noWrap/>
            <w:vAlign w:val="bottom"/>
          </w:tcPr>
          <w:p w14:paraId="450ADE9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17.32</w:t>
            </w:r>
          </w:p>
        </w:tc>
      </w:tr>
      <w:tr w:rsidR="004B00C3" w:rsidRPr="004B00C3" w14:paraId="32660E7E" w14:textId="77777777" w:rsidTr="00646FA9">
        <w:trPr>
          <w:trHeight w:val="278"/>
        </w:trPr>
        <w:tc>
          <w:tcPr>
            <w:tcW w:w="2546" w:type="dxa"/>
            <w:noWrap/>
            <w:vAlign w:val="bottom"/>
          </w:tcPr>
          <w:p w14:paraId="1944767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Isocyanic acid</w:t>
            </w:r>
          </w:p>
        </w:tc>
        <w:tc>
          <w:tcPr>
            <w:tcW w:w="1222" w:type="dxa"/>
            <w:noWrap/>
            <w:hideMark/>
          </w:tcPr>
          <w:p w14:paraId="7280DDF6"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54D00B7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2.61</w:t>
            </w:r>
          </w:p>
        </w:tc>
        <w:tc>
          <w:tcPr>
            <w:tcW w:w="890" w:type="dxa"/>
            <w:noWrap/>
            <w:vAlign w:val="bottom"/>
          </w:tcPr>
          <w:p w14:paraId="4C53EF9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0.98</w:t>
            </w:r>
          </w:p>
        </w:tc>
        <w:tc>
          <w:tcPr>
            <w:tcW w:w="888" w:type="dxa"/>
            <w:noWrap/>
            <w:vAlign w:val="bottom"/>
          </w:tcPr>
          <w:p w14:paraId="4B1BC2F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1.57</w:t>
            </w:r>
          </w:p>
        </w:tc>
        <w:tc>
          <w:tcPr>
            <w:tcW w:w="1002" w:type="dxa"/>
            <w:noWrap/>
            <w:vAlign w:val="bottom"/>
          </w:tcPr>
          <w:p w14:paraId="03130CF2"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1.79</w:t>
            </w:r>
          </w:p>
        </w:tc>
        <w:tc>
          <w:tcPr>
            <w:tcW w:w="875" w:type="dxa"/>
            <w:noWrap/>
            <w:vAlign w:val="bottom"/>
          </w:tcPr>
          <w:p w14:paraId="0CE44E8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2.04</w:t>
            </w:r>
          </w:p>
        </w:tc>
        <w:tc>
          <w:tcPr>
            <w:tcW w:w="875" w:type="dxa"/>
            <w:noWrap/>
            <w:vAlign w:val="bottom"/>
          </w:tcPr>
          <w:p w14:paraId="2DA51D6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3.21</w:t>
            </w:r>
          </w:p>
        </w:tc>
      </w:tr>
      <w:tr w:rsidR="004B00C3" w:rsidRPr="004B00C3" w14:paraId="749114AF" w14:textId="77777777" w:rsidTr="00646FA9">
        <w:trPr>
          <w:trHeight w:val="278"/>
        </w:trPr>
        <w:tc>
          <w:tcPr>
            <w:tcW w:w="2546" w:type="dxa"/>
            <w:noWrap/>
            <w:vAlign w:val="bottom"/>
          </w:tcPr>
          <w:p w14:paraId="532D1F12" w14:textId="77777777" w:rsidR="00646FA9"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Formamide/</w:t>
            </w:r>
          </w:p>
          <w:p w14:paraId="1046BBB3" w14:textId="72D43CCB"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Dimethylamine</w:t>
            </w:r>
          </w:p>
        </w:tc>
        <w:tc>
          <w:tcPr>
            <w:tcW w:w="1222" w:type="dxa"/>
            <w:noWrap/>
            <w:hideMark/>
          </w:tcPr>
          <w:p w14:paraId="049B7B8A"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5BDF0D1F"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3.87</w:t>
            </w:r>
          </w:p>
        </w:tc>
        <w:tc>
          <w:tcPr>
            <w:tcW w:w="890" w:type="dxa"/>
            <w:noWrap/>
            <w:vAlign w:val="bottom"/>
          </w:tcPr>
          <w:p w14:paraId="1707585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3.01</w:t>
            </w:r>
          </w:p>
        </w:tc>
        <w:tc>
          <w:tcPr>
            <w:tcW w:w="888" w:type="dxa"/>
            <w:noWrap/>
            <w:vAlign w:val="bottom"/>
          </w:tcPr>
          <w:p w14:paraId="0FD5876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6.91</w:t>
            </w:r>
          </w:p>
        </w:tc>
        <w:tc>
          <w:tcPr>
            <w:tcW w:w="1002" w:type="dxa"/>
            <w:noWrap/>
            <w:vAlign w:val="bottom"/>
          </w:tcPr>
          <w:p w14:paraId="0DB86D4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8.42</w:t>
            </w:r>
          </w:p>
        </w:tc>
        <w:tc>
          <w:tcPr>
            <w:tcW w:w="875" w:type="dxa"/>
            <w:noWrap/>
            <w:vAlign w:val="bottom"/>
          </w:tcPr>
          <w:p w14:paraId="77454E7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9.90</w:t>
            </w:r>
          </w:p>
        </w:tc>
        <w:tc>
          <w:tcPr>
            <w:tcW w:w="875" w:type="dxa"/>
            <w:noWrap/>
            <w:vAlign w:val="bottom"/>
          </w:tcPr>
          <w:p w14:paraId="38DF962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21.52</w:t>
            </w:r>
          </w:p>
        </w:tc>
      </w:tr>
      <w:tr w:rsidR="004B00C3" w:rsidRPr="004B00C3" w14:paraId="4A3ACA9B" w14:textId="77777777" w:rsidTr="00646FA9">
        <w:trPr>
          <w:trHeight w:val="278"/>
        </w:trPr>
        <w:tc>
          <w:tcPr>
            <w:tcW w:w="2546" w:type="dxa"/>
            <w:noWrap/>
            <w:vAlign w:val="bottom"/>
          </w:tcPr>
          <w:p w14:paraId="7CD383B1"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Formic acid</w:t>
            </w:r>
          </w:p>
        </w:tc>
        <w:tc>
          <w:tcPr>
            <w:tcW w:w="1222" w:type="dxa"/>
            <w:noWrap/>
            <w:hideMark/>
          </w:tcPr>
          <w:p w14:paraId="597022E6"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3DF7A64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3.91</w:t>
            </w:r>
          </w:p>
        </w:tc>
        <w:tc>
          <w:tcPr>
            <w:tcW w:w="890" w:type="dxa"/>
            <w:noWrap/>
            <w:vAlign w:val="bottom"/>
          </w:tcPr>
          <w:p w14:paraId="60B39C2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5.22</w:t>
            </w:r>
          </w:p>
        </w:tc>
        <w:tc>
          <w:tcPr>
            <w:tcW w:w="888" w:type="dxa"/>
            <w:noWrap/>
            <w:vAlign w:val="bottom"/>
          </w:tcPr>
          <w:p w14:paraId="657A8F9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8.74</w:t>
            </w:r>
          </w:p>
        </w:tc>
        <w:tc>
          <w:tcPr>
            <w:tcW w:w="1002" w:type="dxa"/>
            <w:noWrap/>
            <w:vAlign w:val="bottom"/>
          </w:tcPr>
          <w:p w14:paraId="29E42EC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9.99</w:t>
            </w:r>
          </w:p>
        </w:tc>
        <w:tc>
          <w:tcPr>
            <w:tcW w:w="875" w:type="dxa"/>
            <w:noWrap/>
            <w:vAlign w:val="bottom"/>
          </w:tcPr>
          <w:p w14:paraId="31E3AA1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11.58</w:t>
            </w:r>
          </w:p>
        </w:tc>
        <w:tc>
          <w:tcPr>
            <w:tcW w:w="875" w:type="dxa"/>
            <w:noWrap/>
            <w:vAlign w:val="bottom"/>
          </w:tcPr>
          <w:p w14:paraId="060007E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18.55</w:t>
            </w:r>
          </w:p>
        </w:tc>
      </w:tr>
      <w:tr w:rsidR="004B00C3" w:rsidRPr="004B00C3" w14:paraId="660358D7" w14:textId="77777777" w:rsidTr="00646FA9">
        <w:trPr>
          <w:trHeight w:val="278"/>
        </w:trPr>
        <w:tc>
          <w:tcPr>
            <w:tcW w:w="2546" w:type="dxa"/>
            <w:noWrap/>
            <w:vAlign w:val="bottom"/>
          </w:tcPr>
          <w:p w14:paraId="6456C2C8" w14:textId="77777777" w:rsidR="00646FA9"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Acrolein/</w:t>
            </w:r>
          </w:p>
          <w:p w14:paraId="4C7B78EB" w14:textId="725C91EA"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Methylketene</w:t>
            </w:r>
          </w:p>
        </w:tc>
        <w:tc>
          <w:tcPr>
            <w:tcW w:w="1222" w:type="dxa"/>
            <w:noWrap/>
            <w:hideMark/>
          </w:tcPr>
          <w:p w14:paraId="37DABCB1"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5D85ACA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3.29</w:t>
            </w:r>
          </w:p>
        </w:tc>
        <w:tc>
          <w:tcPr>
            <w:tcW w:w="890" w:type="dxa"/>
            <w:noWrap/>
            <w:vAlign w:val="bottom"/>
          </w:tcPr>
          <w:p w14:paraId="6C3DD1D8"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1.07</w:t>
            </w:r>
          </w:p>
        </w:tc>
        <w:tc>
          <w:tcPr>
            <w:tcW w:w="888" w:type="dxa"/>
            <w:noWrap/>
            <w:vAlign w:val="bottom"/>
          </w:tcPr>
          <w:p w14:paraId="1AA82E60"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2.63</w:t>
            </w:r>
          </w:p>
        </w:tc>
        <w:tc>
          <w:tcPr>
            <w:tcW w:w="1002" w:type="dxa"/>
            <w:noWrap/>
            <w:vAlign w:val="bottom"/>
          </w:tcPr>
          <w:p w14:paraId="4107E9B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4.90</w:t>
            </w:r>
          </w:p>
        </w:tc>
        <w:tc>
          <w:tcPr>
            <w:tcW w:w="875" w:type="dxa"/>
            <w:noWrap/>
            <w:vAlign w:val="bottom"/>
          </w:tcPr>
          <w:p w14:paraId="679E37A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7.63</w:t>
            </w:r>
          </w:p>
        </w:tc>
        <w:tc>
          <w:tcPr>
            <w:tcW w:w="875" w:type="dxa"/>
            <w:noWrap/>
            <w:vAlign w:val="bottom"/>
          </w:tcPr>
          <w:p w14:paraId="3BCA96AE"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32.31</w:t>
            </w:r>
          </w:p>
        </w:tc>
      </w:tr>
      <w:tr w:rsidR="004B00C3" w:rsidRPr="004B00C3" w14:paraId="44053A80" w14:textId="77777777" w:rsidTr="00646FA9">
        <w:trPr>
          <w:trHeight w:val="278"/>
        </w:trPr>
        <w:tc>
          <w:tcPr>
            <w:tcW w:w="2546" w:type="dxa"/>
            <w:noWrap/>
            <w:vAlign w:val="bottom"/>
          </w:tcPr>
          <w:p w14:paraId="00A26DD7" w14:textId="77777777" w:rsidR="00646FA9"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Acetamide/</w:t>
            </w:r>
          </w:p>
          <w:p w14:paraId="297422D3" w14:textId="050DE1F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Trimethylamine</w:t>
            </w:r>
          </w:p>
        </w:tc>
        <w:tc>
          <w:tcPr>
            <w:tcW w:w="1222" w:type="dxa"/>
            <w:noWrap/>
            <w:hideMark/>
          </w:tcPr>
          <w:p w14:paraId="6768AFA6"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36275995"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2.10</w:t>
            </w:r>
          </w:p>
        </w:tc>
        <w:tc>
          <w:tcPr>
            <w:tcW w:w="890" w:type="dxa"/>
            <w:noWrap/>
            <w:vAlign w:val="bottom"/>
          </w:tcPr>
          <w:p w14:paraId="1EA480A6"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0.66</w:t>
            </w:r>
          </w:p>
        </w:tc>
        <w:tc>
          <w:tcPr>
            <w:tcW w:w="888" w:type="dxa"/>
            <w:noWrap/>
            <w:vAlign w:val="bottom"/>
          </w:tcPr>
          <w:p w14:paraId="27E819C7"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1.52</w:t>
            </w:r>
          </w:p>
        </w:tc>
        <w:tc>
          <w:tcPr>
            <w:tcW w:w="1002" w:type="dxa"/>
            <w:noWrap/>
            <w:vAlign w:val="bottom"/>
          </w:tcPr>
          <w:p w14:paraId="0E31A6FC"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1.82</w:t>
            </w:r>
          </w:p>
        </w:tc>
        <w:tc>
          <w:tcPr>
            <w:tcW w:w="875" w:type="dxa"/>
            <w:noWrap/>
            <w:vAlign w:val="bottom"/>
          </w:tcPr>
          <w:p w14:paraId="21DFD42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2.25</w:t>
            </w:r>
          </w:p>
        </w:tc>
        <w:tc>
          <w:tcPr>
            <w:tcW w:w="875" w:type="dxa"/>
            <w:noWrap/>
            <w:vAlign w:val="bottom"/>
          </w:tcPr>
          <w:p w14:paraId="22DAEEB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4.78</w:t>
            </w:r>
          </w:p>
        </w:tc>
      </w:tr>
      <w:tr w:rsidR="004B00C3" w:rsidRPr="004B00C3" w14:paraId="2D220962" w14:textId="77777777" w:rsidTr="00646FA9">
        <w:trPr>
          <w:trHeight w:val="278"/>
        </w:trPr>
        <w:tc>
          <w:tcPr>
            <w:tcW w:w="2546" w:type="dxa"/>
            <w:noWrap/>
            <w:hideMark/>
          </w:tcPr>
          <w:p w14:paraId="17A20DAE"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Total VOC</w:t>
            </w:r>
          </w:p>
        </w:tc>
        <w:tc>
          <w:tcPr>
            <w:tcW w:w="1222" w:type="dxa"/>
            <w:noWrap/>
            <w:hideMark/>
          </w:tcPr>
          <w:p w14:paraId="3EF38322" w14:textId="77777777" w:rsidR="007D4486" w:rsidRPr="004B00C3" w:rsidRDefault="007D4486" w:rsidP="004B00C3">
            <w:pPr>
              <w:spacing w:line="360" w:lineRule="auto"/>
              <w:jc w:val="both"/>
              <w:rPr>
                <w:rFonts w:ascii="Times New Roman" w:eastAsia="Times New Roman" w:hAnsi="Times New Roman" w:cs="Times New Roman"/>
                <w:sz w:val="24"/>
                <w:szCs w:val="24"/>
                <w:lang w:eastAsia="en-IN"/>
              </w:rPr>
            </w:pPr>
            <w:r w:rsidRPr="004B00C3">
              <w:rPr>
                <w:rFonts w:ascii="Times New Roman" w:eastAsia="Times New Roman" w:hAnsi="Times New Roman" w:cs="Times New Roman"/>
                <w:sz w:val="24"/>
                <w:szCs w:val="24"/>
                <w:lang w:eastAsia="en-IN"/>
              </w:rPr>
              <w:t>Weak</w:t>
            </w:r>
          </w:p>
        </w:tc>
        <w:tc>
          <w:tcPr>
            <w:tcW w:w="723" w:type="dxa"/>
            <w:noWrap/>
            <w:vAlign w:val="bottom"/>
          </w:tcPr>
          <w:p w14:paraId="1EFA8EAA"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4.00</w:t>
            </w:r>
          </w:p>
        </w:tc>
        <w:tc>
          <w:tcPr>
            <w:tcW w:w="890" w:type="dxa"/>
            <w:noWrap/>
            <w:vAlign w:val="bottom"/>
          </w:tcPr>
          <w:p w14:paraId="0D3FC50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64.00</w:t>
            </w:r>
          </w:p>
        </w:tc>
        <w:tc>
          <w:tcPr>
            <w:tcW w:w="888" w:type="dxa"/>
            <w:noWrap/>
            <w:vAlign w:val="bottom"/>
          </w:tcPr>
          <w:p w14:paraId="6276A35D"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124.77</w:t>
            </w:r>
          </w:p>
        </w:tc>
        <w:tc>
          <w:tcPr>
            <w:tcW w:w="1002" w:type="dxa"/>
            <w:noWrap/>
            <w:vAlign w:val="bottom"/>
          </w:tcPr>
          <w:p w14:paraId="7C66105B"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171.23</w:t>
            </w:r>
          </w:p>
        </w:tc>
        <w:tc>
          <w:tcPr>
            <w:tcW w:w="875" w:type="dxa"/>
            <w:noWrap/>
            <w:vAlign w:val="bottom"/>
          </w:tcPr>
          <w:p w14:paraId="728E70A3"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230.51</w:t>
            </w:r>
          </w:p>
        </w:tc>
        <w:tc>
          <w:tcPr>
            <w:tcW w:w="875" w:type="dxa"/>
            <w:noWrap/>
            <w:vAlign w:val="bottom"/>
          </w:tcPr>
          <w:p w14:paraId="5D840789" w14:textId="77777777" w:rsidR="007D4486" w:rsidRPr="004B00C3" w:rsidRDefault="007D4486"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515.52</w:t>
            </w:r>
          </w:p>
        </w:tc>
      </w:tr>
    </w:tbl>
    <w:p w14:paraId="11AC9784" w14:textId="77777777" w:rsidR="007D4486" w:rsidRPr="004B00C3" w:rsidRDefault="007D4486" w:rsidP="004B00C3">
      <w:pPr>
        <w:spacing w:line="360" w:lineRule="auto"/>
        <w:jc w:val="both"/>
        <w:rPr>
          <w:rFonts w:ascii="Times New Roman" w:hAnsi="Times New Roman" w:cs="Times New Roman"/>
          <w:sz w:val="24"/>
          <w:szCs w:val="24"/>
        </w:rPr>
      </w:pPr>
    </w:p>
    <w:p w14:paraId="67F16E04" w14:textId="37A1E49E" w:rsidR="008C3C4A"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extra modeling uncertainty was kept to zero and missing values (&lt; 5 %) were exclud</w:t>
      </w:r>
      <w:r w:rsidR="00F16CA0">
        <w:rPr>
          <w:rFonts w:ascii="Times New Roman" w:hAnsi="Times New Roman" w:cs="Times New Roman"/>
          <w:sz w:val="24"/>
          <w:szCs w:val="24"/>
        </w:rPr>
        <w:t>ed. For every base model run, I</w:t>
      </w:r>
      <w:r w:rsidRPr="004B00C3">
        <w:rPr>
          <w:rFonts w:ascii="Times New Roman" w:hAnsi="Times New Roman" w:cs="Times New Roman"/>
          <w:sz w:val="24"/>
          <w:szCs w:val="24"/>
        </w:rPr>
        <w:t xml:space="preserve"> used 20 runs with random seeds. Stable Q values were obtained for all runs. The model was run with 3 to 7 factors, to identify the appropriate number of factors. Figure </w:t>
      </w:r>
      <w:r w:rsidR="00D94F0C" w:rsidRPr="004B00C3">
        <w:rPr>
          <w:rFonts w:ascii="Times New Roman" w:hAnsi="Times New Roman" w:cs="Times New Roman"/>
          <w:sz w:val="24"/>
          <w:szCs w:val="24"/>
        </w:rPr>
        <w:t>3.</w:t>
      </w:r>
      <w:r w:rsidRPr="004B00C3">
        <w:rPr>
          <w:rFonts w:ascii="Times New Roman" w:hAnsi="Times New Roman" w:cs="Times New Roman"/>
          <w:sz w:val="24"/>
          <w:szCs w:val="24"/>
        </w:rPr>
        <w:t>2 shows the percentage contribution of the identified sources to the VOC burden for these runs.</w:t>
      </w:r>
      <w:r w:rsidR="007D2E1D" w:rsidRPr="004B00C3">
        <w:rPr>
          <w:rFonts w:ascii="Times New Roman" w:hAnsi="Times New Roman" w:cs="Times New Roman"/>
          <w:sz w:val="24"/>
          <w:szCs w:val="24"/>
        </w:rPr>
        <w:t xml:space="preserve"> It is clear from Figure 3.2 that traffic emissions and photochemistry appear as separate sources even in a 3 Factor solution thanks to strong plumes from the urban sector and a distinct diurnal profile, respectively. Other combustion sources continue to be mixed till the model is run with a 6 Factor </w:t>
      </w:r>
      <w:r w:rsidR="007D2E1D" w:rsidRPr="004B00C3">
        <w:rPr>
          <w:rFonts w:ascii="Times New Roman" w:hAnsi="Times New Roman" w:cs="Times New Roman"/>
          <w:sz w:val="24"/>
          <w:szCs w:val="24"/>
        </w:rPr>
        <w:lastRenderedPageBreak/>
        <w:t>solution. A very distinct source, the wheat residue burning, which can be verified using MODIS fire counts appears first in the 6 Factor solution, indicating that at least 6 Factors are required to properly resolve the sources present. When the number of Factors is increased further to 7, the percentage contribution of all previously identified factors remains almost constant and an ‘Unresolved Factor’ accounting for only 2.5% of the total VOC mass appears. Since this factor could not be matched against any known VOC source, had no distinct diurnal patterns and its contribution to the o</w:t>
      </w:r>
      <w:r w:rsidR="00F16CA0">
        <w:rPr>
          <w:rFonts w:ascii="Times New Roman" w:hAnsi="Times New Roman" w:cs="Times New Roman"/>
          <w:sz w:val="24"/>
          <w:szCs w:val="24"/>
        </w:rPr>
        <w:t>verall VOC burden was small I</w:t>
      </w:r>
      <w:r w:rsidR="007D2E1D" w:rsidRPr="004B00C3">
        <w:rPr>
          <w:rFonts w:ascii="Times New Roman" w:hAnsi="Times New Roman" w:cs="Times New Roman"/>
          <w:sz w:val="24"/>
          <w:szCs w:val="24"/>
        </w:rPr>
        <w:t xml:space="preserve"> decided to retain the 6 Factor solution.</w:t>
      </w:r>
      <w:r w:rsidR="008C3C4A" w:rsidRPr="004B00C3">
        <w:rPr>
          <w:rFonts w:ascii="Times New Roman" w:hAnsi="Times New Roman" w:cs="Times New Roman"/>
          <w:sz w:val="24"/>
          <w:szCs w:val="24"/>
        </w:rPr>
        <w:t xml:space="preserve"> The residuals for all species for the six-factor solution depicted a normal curve and fall within −3.3σ and +3.3σ for all species, indicating a good model fit. </w:t>
      </w:r>
    </w:p>
    <w:p w14:paraId="3C6B46DD" w14:textId="53DBCE3B" w:rsidR="00D94F0C" w:rsidRPr="004B00C3" w:rsidRDefault="00D94F0C" w:rsidP="004B00C3">
      <w:pPr>
        <w:spacing w:line="360" w:lineRule="auto"/>
        <w:jc w:val="center"/>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2C261828" wp14:editId="2F92AB83">
            <wp:extent cx="4083050" cy="2203164"/>
            <wp:effectExtent l="0" t="0" r="0" b="6985"/>
            <wp:docPr id="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14" cstate="print"/>
                    <a:stretch>
                      <a:fillRect/>
                    </a:stretch>
                  </pic:blipFill>
                  <pic:spPr>
                    <a:xfrm>
                      <a:off x="0" y="0"/>
                      <a:ext cx="4083050" cy="2203164"/>
                    </a:xfrm>
                    <a:prstGeom prst="rect">
                      <a:avLst/>
                    </a:prstGeom>
                  </pic:spPr>
                </pic:pic>
              </a:graphicData>
            </a:graphic>
          </wp:inline>
        </w:drawing>
      </w:r>
    </w:p>
    <w:p w14:paraId="29952D35" w14:textId="4DC33185" w:rsidR="00A024C4" w:rsidRPr="004B00C3" w:rsidRDefault="003E0353" w:rsidP="00366EB0">
      <w:pPr>
        <w:pStyle w:val="Caption"/>
        <w:spacing w:line="360" w:lineRule="auto"/>
        <w:jc w:val="both"/>
        <w:rPr>
          <w:rFonts w:ascii="Times New Roman" w:hAnsi="Times New Roman" w:cs="Times New Roman"/>
          <w:color w:val="auto"/>
          <w:sz w:val="24"/>
          <w:szCs w:val="24"/>
        </w:rPr>
      </w:pPr>
      <w:bookmarkStart w:id="31" w:name="_Toc133577921"/>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2</w:t>
      </w:r>
      <w:r w:rsidRPr="004B00C3">
        <w:rPr>
          <w:rFonts w:ascii="Times New Roman" w:hAnsi="Times New Roman" w:cs="Times New Roman"/>
          <w:color w:val="auto"/>
          <w:sz w:val="24"/>
          <w:szCs w:val="24"/>
        </w:rPr>
        <w:fldChar w:fldCharType="end"/>
      </w:r>
      <w:r w:rsidR="00D94F0C" w:rsidRPr="004B00C3">
        <w:rPr>
          <w:rFonts w:ascii="Times New Roman" w:hAnsi="Times New Roman" w:cs="Times New Roman"/>
          <w:color w:val="auto"/>
          <w:sz w:val="24"/>
          <w:szCs w:val="24"/>
        </w:rPr>
        <w:t xml:space="preserve"> Percentage contribution assignment for various PMF factor number solutions (3–7) to the corresponding VOC emission sources.</w:t>
      </w:r>
      <w:bookmarkEnd w:id="31"/>
    </w:p>
    <w:p w14:paraId="5E82ED4D" w14:textId="624354ED" w:rsidR="0090279B" w:rsidRPr="00366EB0" w:rsidRDefault="003E0353" w:rsidP="004B00C3">
      <w:pPr>
        <w:pStyle w:val="Caption"/>
        <w:spacing w:line="360" w:lineRule="auto"/>
        <w:rPr>
          <w:rFonts w:ascii="Times New Roman" w:hAnsi="Times New Roman" w:cs="Times New Roman"/>
          <w:i w:val="0"/>
          <w:iCs w:val="0"/>
          <w:color w:val="auto"/>
          <w:sz w:val="24"/>
          <w:szCs w:val="24"/>
        </w:rPr>
      </w:pPr>
      <w:bookmarkStart w:id="32" w:name="_Toc133577922"/>
      <w:r w:rsidRPr="00366EB0">
        <w:rPr>
          <w:rFonts w:ascii="Times New Roman" w:hAnsi="Times New Roman" w:cs="Times New Roman"/>
          <w:i w:val="0"/>
          <w:iCs w:val="0"/>
          <w:color w:val="auto"/>
          <w:sz w:val="24"/>
          <w:szCs w:val="24"/>
        </w:rPr>
        <w:t xml:space="preserve">Figure 3. </w:t>
      </w:r>
      <w:r w:rsidRPr="00366EB0">
        <w:rPr>
          <w:rFonts w:ascii="Times New Roman" w:hAnsi="Times New Roman" w:cs="Times New Roman"/>
          <w:i w:val="0"/>
          <w:iCs w:val="0"/>
          <w:color w:val="auto"/>
          <w:sz w:val="24"/>
          <w:szCs w:val="24"/>
        </w:rPr>
        <w:fldChar w:fldCharType="begin"/>
      </w:r>
      <w:r w:rsidRPr="00366EB0">
        <w:rPr>
          <w:rFonts w:ascii="Times New Roman" w:hAnsi="Times New Roman" w:cs="Times New Roman"/>
          <w:i w:val="0"/>
          <w:iCs w:val="0"/>
          <w:color w:val="auto"/>
          <w:sz w:val="24"/>
          <w:szCs w:val="24"/>
        </w:rPr>
        <w:instrText xml:space="preserve"> SEQ Figure_3. \* ARABIC </w:instrText>
      </w:r>
      <w:r w:rsidRPr="00366EB0">
        <w:rPr>
          <w:rFonts w:ascii="Times New Roman" w:hAnsi="Times New Roman" w:cs="Times New Roman"/>
          <w:i w:val="0"/>
          <w:iCs w:val="0"/>
          <w:color w:val="auto"/>
          <w:sz w:val="24"/>
          <w:szCs w:val="24"/>
        </w:rPr>
        <w:fldChar w:fldCharType="separate"/>
      </w:r>
      <w:r w:rsidR="0036384D">
        <w:rPr>
          <w:rFonts w:ascii="Times New Roman" w:hAnsi="Times New Roman" w:cs="Times New Roman"/>
          <w:i w:val="0"/>
          <w:iCs w:val="0"/>
          <w:noProof/>
          <w:color w:val="auto"/>
          <w:sz w:val="24"/>
          <w:szCs w:val="24"/>
        </w:rPr>
        <w:t>3</w:t>
      </w:r>
      <w:r w:rsidRPr="00366EB0">
        <w:rPr>
          <w:rFonts w:ascii="Times New Roman" w:hAnsi="Times New Roman" w:cs="Times New Roman"/>
          <w:i w:val="0"/>
          <w:iCs w:val="0"/>
          <w:color w:val="auto"/>
          <w:sz w:val="24"/>
          <w:szCs w:val="24"/>
        </w:rPr>
        <w:fldChar w:fldCharType="end"/>
      </w:r>
      <w:r w:rsidRPr="00366EB0">
        <w:rPr>
          <w:rFonts w:ascii="Times New Roman" w:hAnsi="Times New Roman" w:cs="Times New Roman"/>
          <w:i w:val="0"/>
          <w:iCs w:val="0"/>
          <w:color w:val="auto"/>
          <w:sz w:val="24"/>
          <w:szCs w:val="24"/>
        </w:rPr>
        <w:t xml:space="preserve"> </w:t>
      </w:r>
      <w:r w:rsidR="00366EB0">
        <w:rPr>
          <w:rFonts w:ascii="Times New Roman" w:hAnsi="Times New Roman" w:cs="Times New Roman"/>
          <w:i w:val="0"/>
          <w:iCs w:val="0"/>
          <w:color w:val="auto"/>
          <w:sz w:val="24"/>
          <w:szCs w:val="24"/>
        </w:rPr>
        <w:t xml:space="preserve">: </w:t>
      </w:r>
      <w:r w:rsidR="0090279B" w:rsidRPr="00366EB0">
        <w:rPr>
          <w:rFonts w:ascii="Times New Roman" w:hAnsi="Times New Roman" w:cs="Times New Roman"/>
          <w:i w:val="0"/>
          <w:iCs w:val="0"/>
          <w:color w:val="auto"/>
          <w:sz w:val="24"/>
          <w:szCs w:val="24"/>
        </w:rPr>
        <w:t>Figure 3.3.a shows how the concentration of different species in different factor profiles changes with increasing number of factors, while Figure 3.3.b shows how the percentage of each species explained by each of the different factors changes with increasing number of factors. Figure 3.3.c shows the evolution of the factor contribution time series with increasing number of factors.</w:t>
      </w:r>
      <w:bookmarkEnd w:id="32"/>
    </w:p>
    <w:p w14:paraId="64F944A1" w14:textId="77777777" w:rsidR="009E7C13" w:rsidRPr="004B00C3" w:rsidRDefault="009E7C13" w:rsidP="004B00C3">
      <w:pPr>
        <w:spacing w:line="360" w:lineRule="auto"/>
        <w:jc w:val="center"/>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032C348C" wp14:editId="7ED5896C">
            <wp:extent cx="5765800" cy="8242300"/>
            <wp:effectExtent l="0" t="0" r="6350" b="6350"/>
            <wp:docPr id="3" name="Picture 3" descr="C:\Users\Bharat Jangra\Desktop\conc_sup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harat Jangra\Desktop\conc_supp.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72632" cy="8252066"/>
                    </a:xfrm>
                    <a:prstGeom prst="rect">
                      <a:avLst/>
                    </a:prstGeom>
                    <a:noFill/>
                    <a:ln>
                      <a:noFill/>
                    </a:ln>
                  </pic:spPr>
                </pic:pic>
              </a:graphicData>
            </a:graphic>
          </wp:inline>
        </w:drawing>
      </w:r>
    </w:p>
    <w:p w14:paraId="49CAC674" w14:textId="77777777" w:rsidR="009E7C13" w:rsidRPr="00366EB0" w:rsidRDefault="009E7C13" w:rsidP="004B00C3">
      <w:pPr>
        <w:spacing w:line="360" w:lineRule="auto"/>
        <w:jc w:val="both"/>
        <w:rPr>
          <w:rFonts w:ascii="Times New Roman" w:hAnsi="Times New Roman" w:cs="Times New Roman"/>
          <w:i/>
          <w:iCs/>
          <w:sz w:val="24"/>
          <w:szCs w:val="24"/>
        </w:rPr>
      </w:pPr>
      <w:r w:rsidRPr="00366EB0">
        <w:rPr>
          <w:rFonts w:ascii="Times New Roman" w:hAnsi="Times New Roman" w:cs="Times New Roman"/>
          <w:bCs/>
          <w:i/>
          <w:iCs/>
          <w:sz w:val="24"/>
          <w:szCs w:val="24"/>
        </w:rPr>
        <w:t>Figure 3.3.a. Evolution</w:t>
      </w:r>
      <w:r w:rsidRPr="00366EB0">
        <w:rPr>
          <w:rFonts w:ascii="Times New Roman" w:hAnsi="Times New Roman" w:cs="Times New Roman"/>
          <w:i/>
          <w:iCs/>
          <w:sz w:val="24"/>
          <w:szCs w:val="24"/>
        </w:rPr>
        <w:t xml:space="preserve"> of PMF factor profiles from 3 to 7 factor number solutions.</w:t>
      </w:r>
    </w:p>
    <w:p w14:paraId="1A77BD8E" w14:textId="77777777" w:rsidR="009E7C13" w:rsidRPr="004B00C3" w:rsidRDefault="009E7C13" w:rsidP="004B00C3">
      <w:pPr>
        <w:spacing w:line="360" w:lineRule="auto"/>
        <w:jc w:val="both"/>
        <w:rPr>
          <w:rFonts w:ascii="Times New Roman" w:hAnsi="Times New Roman" w:cs="Times New Roman"/>
          <w:noProof/>
          <w:sz w:val="24"/>
          <w:szCs w:val="24"/>
          <w:lang w:eastAsia="en-IN"/>
        </w:rPr>
      </w:pPr>
      <w:r w:rsidRPr="004B00C3">
        <w:rPr>
          <w:rFonts w:ascii="Times New Roman" w:hAnsi="Times New Roman" w:cs="Times New Roman"/>
          <w:noProof/>
          <w:sz w:val="24"/>
          <w:szCs w:val="24"/>
          <w:lang w:eastAsia="en-IN"/>
        </w:rPr>
        <w:lastRenderedPageBreak/>
        <w:drawing>
          <wp:inline distT="0" distB="0" distL="0" distR="0" wp14:anchorId="37015FC6" wp14:editId="52FC1990">
            <wp:extent cx="5730875" cy="8235950"/>
            <wp:effectExtent l="0" t="0" r="3175" b="0"/>
            <wp:docPr id="6" name="Picture 6" descr="C:\Users\Bharat Jangra\Desktop\%sup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harat Jangra\Desktop\%supp.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32473" cy="8238247"/>
                    </a:xfrm>
                    <a:prstGeom prst="rect">
                      <a:avLst/>
                    </a:prstGeom>
                    <a:noFill/>
                    <a:ln>
                      <a:noFill/>
                    </a:ln>
                  </pic:spPr>
                </pic:pic>
              </a:graphicData>
            </a:graphic>
          </wp:inline>
        </w:drawing>
      </w:r>
    </w:p>
    <w:p w14:paraId="16C25BFA" w14:textId="29B14386" w:rsidR="009E7C13" w:rsidRPr="00366EB0" w:rsidRDefault="009E7C13" w:rsidP="004B00C3">
      <w:pPr>
        <w:spacing w:line="360" w:lineRule="auto"/>
        <w:jc w:val="both"/>
        <w:rPr>
          <w:rFonts w:ascii="Times New Roman" w:hAnsi="Times New Roman" w:cs="Times New Roman"/>
          <w:i/>
          <w:iCs/>
          <w:sz w:val="24"/>
          <w:szCs w:val="24"/>
        </w:rPr>
      </w:pPr>
      <w:r w:rsidRPr="00366EB0">
        <w:rPr>
          <w:rFonts w:ascii="Times New Roman" w:hAnsi="Times New Roman" w:cs="Times New Roman"/>
          <w:bCs/>
          <w:i/>
          <w:iCs/>
          <w:sz w:val="24"/>
          <w:szCs w:val="24"/>
        </w:rPr>
        <w:t>Figure 3.3.b. Evolution</w:t>
      </w:r>
      <w:r w:rsidRPr="00366EB0">
        <w:rPr>
          <w:rFonts w:ascii="Times New Roman" w:hAnsi="Times New Roman" w:cs="Times New Roman"/>
          <w:i/>
          <w:iCs/>
          <w:sz w:val="24"/>
          <w:szCs w:val="24"/>
        </w:rPr>
        <w:t xml:space="preserve"> of percentage contribution of different VOC species from 3 to 7 PMF</w:t>
      </w:r>
      <w:r w:rsidR="00C2799E" w:rsidRPr="00366EB0">
        <w:rPr>
          <w:rFonts w:ascii="Times New Roman" w:hAnsi="Times New Roman" w:cs="Times New Roman"/>
          <w:i/>
          <w:iCs/>
          <w:sz w:val="24"/>
          <w:szCs w:val="24"/>
        </w:rPr>
        <w:t xml:space="preserve"> factor solutions</w:t>
      </w:r>
    </w:p>
    <w:p w14:paraId="74985272" w14:textId="77777777" w:rsidR="009E7C13" w:rsidRPr="004B00C3" w:rsidRDefault="009E7C13"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1B3877CD" wp14:editId="73D1CEEC">
            <wp:extent cx="5730875" cy="8451850"/>
            <wp:effectExtent l="0" t="0" r="3175" b="6350"/>
            <wp:docPr id="18" name="Picture 18" descr="C:\Users\Bharat Jangra\Desktop\source contri_sup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harat Jangra\Desktop\source contri_supp.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32658" cy="8454480"/>
                    </a:xfrm>
                    <a:prstGeom prst="rect">
                      <a:avLst/>
                    </a:prstGeom>
                    <a:noFill/>
                    <a:ln>
                      <a:noFill/>
                    </a:ln>
                  </pic:spPr>
                </pic:pic>
              </a:graphicData>
            </a:graphic>
          </wp:inline>
        </w:drawing>
      </w:r>
    </w:p>
    <w:p w14:paraId="458FC22A" w14:textId="77777777" w:rsidR="009E7C13" w:rsidRPr="00366EB0" w:rsidRDefault="009E7C13" w:rsidP="004B00C3">
      <w:pPr>
        <w:spacing w:line="360" w:lineRule="auto"/>
        <w:jc w:val="both"/>
        <w:rPr>
          <w:rFonts w:ascii="Times New Roman" w:hAnsi="Times New Roman" w:cs="Times New Roman"/>
          <w:i/>
          <w:iCs/>
          <w:sz w:val="24"/>
          <w:szCs w:val="24"/>
        </w:rPr>
      </w:pPr>
      <w:r w:rsidRPr="00366EB0">
        <w:rPr>
          <w:rFonts w:ascii="Times New Roman" w:hAnsi="Times New Roman" w:cs="Times New Roman"/>
          <w:bCs/>
          <w:i/>
          <w:iCs/>
          <w:sz w:val="24"/>
          <w:szCs w:val="24"/>
        </w:rPr>
        <w:t>Figure 3.3.c. Evolution</w:t>
      </w:r>
      <w:r w:rsidRPr="00366EB0">
        <w:rPr>
          <w:rFonts w:ascii="Times New Roman" w:hAnsi="Times New Roman" w:cs="Times New Roman"/>
          <w:i/>
          <w:iCs/>
          <w:sz w:val="24"/>
          <w:szCs w:val="24"/>
        </w:rPr>
        <w:t xml:space="preserve"> of PMF factor contributions from 3 to 7 factor solutions</w:t>
      </w:r>
    </w:p>
    <w:p w14:paraId="7861D3DA" w14:textId="71A9F58F" w:rsidR="00BB64B2" w:rsidRPr="004B00C3" w:rsidRDefault="00551C61"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 xml:space="preserve">Q/Qexp values were explored for different factor number solutions. </w:t>
      </w:r>
      <w:r w:rsidR="00C2799E" w:rsidRPr="004B00C3">
        <w:rPr>
          <w:rFonts w:ascii="Times New Roman" w:hAnsi="Times New Roman" w:cs="Times New Roman"/>
          <w:sz w:val="24"/>
          <w:szCs w:val="24"/>
        </w:rPr>
        <w:t>As seen in Figure 3.4, i</w:t>
      </w:r>
      <w:r w:rsidRPr="004B00C3">
        <w:rPr>
          <w:rFonts w:ascii="Times New Roman" w:hAnsi="Times New Roman" w:cs="Times New Roman"/>
          <w:sz w:val="24"/>
          <w:szCs w:val="24"/>
        </w:rPr>
        <w:t>t was noted that</w:t>
      </w:r>
      <w:r w:rsidR="00BB64B2" w:rsidRPr="004B00C3">
        <w:rPr>
          <w:rFonts w:ascii="Times New Roman" w:hAnsi="Times New Roman" w:cs="Times New Roman"/>
          <w:sz w:val="24"/>
          <w:szCs w:val="24"/>
        </w:rPr>
        <w:t xml:space="preserve"> Q/Qexp </w:t>
      </w:r>
      <w:r w:rsidR="00B14144" w:rsidRPr="004B00C3">
        <w:rPr>
          <w:rFonts w:ascii="Times New Roman" w:hAnsi="Times New Roman" w:cs="Times New Roman"/>
          <w:sz w:val="24"/>
          <w:szCs w:val="24"/>
        </w:rPr>
        <w:t>values</w:t>
      </w:r>
      <w:r w:rsidR="00BB64B2" w:rsidRPr="004B00C3">
        <w:rPr>
          <w:rFonts w:ascii="Times New Roman" w:hAnsi="Times New Roman" w:cs="Times New Roman"/>
          <w:sz w:val="24"/>
          <w:szCs w:val="24"/>
        </w:rPr>
        <w:t xml:space="preserve"> show</w:t>
      </w:r>
      <w:r w:rsidR="00B14144" w:rsidRPr="004B00C3">
        <w:rPr>
          <w:rFonts w:ascii="Times New Roman" w:hAnsi="Times New Roman" w:cs="Times New Roman"/>
          <w:sz w:val="24"/>
          <w:szCs w:val="24"/>
        </w:rPr>
        <w:t>ed</w:t>
      </w:r>
      <w:r w:rsidR="00BB64B2" w:rsidRPr="004B00C3">
        <w:rPr>
          <w:rFonts w:ascii="Times New Roman" w:hAnsi="Times New Roman" w:cs="Times New Roman"/>
          <w:sz w:val="24"/>
          <w:szCs w:val="24"/>
        </w:rPr>
        <w:t xml:space="preserve"> little improvement beyond 6 factors</w:t>
      </w:r>
      <w:r w:rsidRPr="004B00C3">
        <w:rPr>
          <w:rFonts w:ascii="Times New Roman" w:hAnsi="Times New Roman" w:cs="Times New Roman"/>
          <w:sz w:val="24"/>
          <w:szCs w:val="24"/>
        </w:rPr>
        <w:t xml:space="preserve"> and register</w:t>
      </w:r>
      <w:r w:rsidR="00B14144" w:rsidRPr="004B00C3">
        <w:rPr>
          <w:rFonts w:ascii="Times New Roman" w:hAnsi="Times New Roman" w:cs="Times New Roman"/>
          <w:sz w:val="24"/>
          <w:szCs w:val="24"/>
        </w:rPr>
        <w:t>ed</w:t>
      </w:r>
      <w:r w:rsidRPr="004B00C3">
        <w:rPr>
          <w:rFonts w:ascii="Times New Roman" w:hAnsi="Times New Roman" w:cs="Times New Roman"/>
          <w:sz w:val="24"/>
          <w:szCs w:val="24"/>
        </w:rPr>
        <w:t xml:space="preserve"> a sharp decline in value at six number of factors</w:t>
      </w:r>
      <w:r w:rsidR="00BB64B2" w:rsidRPr="004B00C3">
        <w:rPr>
          <w:rFonts w:ascii="Times New Roman" w:hAnsi="Times New Roman" w:cs="Times New Roman"/>
          <w:sz w:val="24"/>
          <w:szCs w:val="24"/>
        </w:rPr>
        <w:t>.</w:t>
      </w:r>
      <w:r w:rsidRPr="004B00C3">
        <w:rPr>
          <w:rFonts w:ascii="Times New Roman" w:hAnsi="Times New Roman" w:cs="Times New Roman"/>
          <w:sz w:val="24"/>
          <w:szCs w:val="24"/>
        </w:rPr>
        <w:t xml:space="preserve"> Therefore, six factor solution was deemed to be the optimal solution and was taken forward for further validation and analysis.</w:t>
      </w:r>
    </w:p>
    <w:p w14:paraId="5C0943DC" w14:textId="77777777" w:rsidR="00BB64B2" w:rsidRPr="004B00C3" w:rsidRDefault="00BB64B2" w:rsidP="00263E15">
      <w:pPr>
        <w:spacing w:line="360" w:lineRule="auto"/>
        <w:jc w:val="center"/>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61BC2E0A" wp14:editId="37B119B9">
            <wp:extent cx="3754755" cy="1885383"/>
            <wp:effectExtent l="0" t="0" r="0" b="63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72880" cy="1894484"/>
                    </a:xfrm>
                    <a:prstGeom prst="rect">
                      <a:avLst/>
                    </a:prstGeom>
                  </pic:spPr>
                </pic:pic>
              </a:graphicData>
            </a:graphic>
          </wp:inline>
        </w:drawing>
      </w:r>
    </w:p>
    <w:p w14:paraId="0ABFBA7C" w14:textId="0EE468AB" w:rsidR="00BB64B2" w:rsidRPr="004B00C3" w:rsidRDefault="003E0353" w:rsidP="00366EB0">
      <w:pPr>
        <w:pStyle w:val="Caption"/>
        <w:spacing w:line="360" w:lineRule="auto"/>
        <w:jc w:val="both"/>
        <w:rPr>
          <w:rFonts w:ascii="Times New Roman" w:hAnsi="Times New Roman" w:cs="Times New Roman"/>
          <w:color w:val="auto"/>
          <w:sz w:val="24"/>
          <w:szCs w:val="24"/>
        </w:rPr>
      </w:pPr>
      <w:bookmarkStart w:id="33" w:name="_Toc133577923"/>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4</w:t>
      </w:r>
      <w:r w:rsidRPr="004B00C3">
        <w:rPr>
          <w:rFonts w:ascii="Times New Roman" w:hAnsi="Times New Roman" w:cs="Times New Roman"/>
          <w:color w:val="auto"/>
          <w:sz w:val="24"/>
          <w:szCs w:val="24"/>
        </w:rPr>
        <w:fldChar w:fldCharType="end"/>
      </w:r>
      <w:r w:rsidR="00BB64B2" w:rsidRPr="004B00C3">
        <w:rPr>
          <w:rFonts w:ascii="Times New Roman" w:hAnsi="Times New Roman" w:cs="Times New Roman"/>
          <w:color w:val="auto"/>
          <w:sz w:val="24"/>
          <w:szCs w:val="24"/>
        </w:rPr>
        <w:t xml:space="preserve"> Q/Qexp plot with increasing number of factors. The absolute Q is relatively low indicating that it may be more appropriate to only consider the 10% precision error of the PTR-MS instead of including the accuracy error while specifying the uncertainty in the PMF input. However, since equal uncertainty was applied to all strong m/z this only affects the absolute Q value and not the model output.</w:t>
      </w:r>
      <w:bookmarkEnd w:id="33"/>
    </w:p>
    <w:p w14:paraId="64FE757F" w14:textId="5196951F" w:rsidR="0063415E" w:rsidRPr="004B00C3" w:rsidRDefault="0063415E"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constraints feature of the 5.0 version of the model was utilized to improve the performance of the model further</w:t>
      </w:r>
      <w:r w:rsidR="008E10E1" w:rsidRPr="004B00C3">
        <w:rPr>
          <w:rFonts w:ascii="Times New Roman" w:hAnsi="Times New Roman" w:cs="Times New Roman"/>
          <w:sz w:val="24"/>
          <w:szCs w:val="24"/>
        </w:rPr>
        <w:t xml:space="preserve"> and for better resolution of mixed factor profile outputs derived from the PMF model</w:t>
      </w:r>
      <w:r w:rsidRPr="004B00C3">
        <w:rPr>
          <w:rFonts w:ascii="Times New Roman" w:hAnsi="Times New Roman" w:cs="Times New Roman"/>
          <w:sz w:val="24"/>
          <w:szCs w:val="24"/>
        </w:rPr>
        <w:t>. The constrained model operation of the PMF version 5.0 allows the rotational ambiguity of the model to be reduced using external knowledge. For example, if a source is inactive for a particular period (as is photochemistry at night), then the source contribution (</w:t>
      </w:r>
      <w:r w:rsidRPr="004B00C3">
        <w:rPr>
          <w:rFonts w:ascii="Times New Roman" w:hAnsi="Times New Roman" w:cs="Times New Roman"/>
          <w:i/>
          <w:iCs/>
          <w:sz w:val="24"/>
          <w:szCs w:val="24"/>
        </w:rPr>
        <w:t>g</w:t>
      </w:r>
      <w:r w:rsidRPr="004B00C3">
        <w:rPr>
          <w:rFonts w:ascii="Times New Roman" w:hAnsi="Times New Roman" w:cs="Times New Roman"/>
          <w:i/>
          <w:iCs/>
          <w:sz w:val="24"/>
          <w:szCs w:val="24"/>
          <w:vertAlign w:val="subscript"/>
        </w:rPr>
        <w:t>ik</w:t>
      </w:r>
      <w:r w:rsidRPr="004B00C3">
        <w:rPr>
          <w:rFonts w:ascii="Times New Roman" w:hAnsi="Times New Roman" w:cs="Times New Roman"/>
          <w:sz w:val="24"/>
          <w:szCs w:val="24"/>
        </w:rPr>
        <w:t>) due to that factor during that time period can be pulled to zero in the model to provide more robust output. Similarly, a compound that is known to be present only in primary emissions can be pulled down in the source composition (</w:t>
      </w:r>
      <w:r w:rsidRPr="004B00C3">
        <w:rPr>
          <w:rFonts w:ascii="Times New Roman" w:hAnsi="Times New Roman" w:cs="Times New Roman"/>
          <w:i/>
          <w:iCs/>
          <w:sz w:val="24"/>
          <w:szCs w:val="24"/>
        </w:rPr>
        <w:t>f</w:t>
      </w:r>
      <w:r w:rsidRPr="004B00C3">
        <w:rPr>
          <w:rFonts w:ascii="Times New Roman" w:hAnsi="Times New Roman" w:cs="Times New Roman"/>
          <w:i/>
          <w:iCs/>
          <w:sz w:val="24"/>
          <w:szCs w:val="24"/>
          <w:vertAlign w:val="subscript"/>
        </w:rPr>
        <w:t>kj</w:t>
      </w:r>
      <w:r w:rsidRPr="004B00C3">
        <w:rPr>
          <w:rFonts w:ascii="Times New Roman" w:hAnsi="Times New Roman" w:cs="Times New Roman"/>
          <w:sz w:val="24"/>
          <w:szCs w:val="24"/>
        </w:rPr>
        <w:t>) matrix of the photochemistry factor. A list of the constraints applied is provided in Table 3.3.</w:t>
      </w:r>
    </w:p>
    <w:p w14:paraId="13096B1F" w14:textId="44F918FD" w:rsidR="001F0B18" w:rsidRPr="004B00C3" w:rsidRDefault="00BC2A0F" w:rsidP="00366EB0">
      <w:pPr>
        <w:pStyle w:val="Caption"/>
        <w:spacing w:line="360" w:lineRule="auto"/>
        <w:jc w:val="both"/>
        <w:rPr>
          <w:rFonts w:ascii="Times New Roman" w:hAnsi="Times New Roman" w:cs="Times New Roman"/>
          <w:color w:val="auto"/>
          <w:sz w:val="24"/>
          <w:szCs w:val="24"/>
        </w:rPr>
      </w:pPr>
      <w:bookmarkStart w:id="34" w:name="_Toc133580159"/>
      <w:r w:rsidRPr="004B00C3">
        <w:rPr>
          <w:rFonts w:ascii="Times New Roman" w:hAnsi="Times New Roman" w:cs="Times New Roman"/>
          <w:color w:val="auto"/>
          <w:sz w:val="24"/>
          <w:szCs w:val="24"/>
        </w:rPr>
        <w:t xml:space="preserve">Table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Table_3.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3</w:t>
      </w:r>
      <w:r w:rsidRPr="004B00C3">
        <w:rPr>
          <w:rFonts w:ascii="Times New Roman" w:hAnsi="Times New Roman" w:cs="Times New Roman"/>
          <w:color w:val="auto"/>
          <w:sz w:val="24"/>
          <w:szCs w:val="24"/>
        </w:rPr>
        <w:fldChar w:fldCharType="end"/>
      </w:r>
      <w:r w:rsidR="001F0B18" w:rsidRPr="004B00C3">
        <w:rPr>
          <w:rFonts w:ascii="Times New Roman" w:hAnsi="Times New Roman" w:cs="Times New Roman"/>
          <w:color w:val="auto"/>
          <w:sz w:val="24"/>
          <w:szCs w:val="24"/>
        </w:rPr>
        <w:t xml:space="preserve"> List of constraints applied to the wheat residue burning, biofuel use and waste disposal, industrial</w:t>
      </w:r>
      <w:r w:rsidR="008E10E1" w:rsidRPr="004B00C3">
        <w:rPr>
          <w:rFonts w:ascii="Times New Roman" w:hAnsi="Times New Roman" w:cs="Times New Roman"/>
          <w:color w:val="auto"/>
          <w:sz w:val="24"/>
          <w:szCs w:val="24"/>
        </w:rPr>
        <w:t xml:space="preserve"> emissions and solvent use,</w:t>
      </w:r>
      <w:r w:rsidR="001F0B18" w:rsidRPr="004B00C3">
        <w:rPr>
          <w:rFonts w:ascii="Times New Roman" w:hAnsi="Times New Roman" w:cs="Times New Roman"/>
          <w:color w:val="auto"/>
          <w:sz w:val="24"/>
          <w:szCs w:val="24"/>
        </w:rPr>
        <w:t xml:space="preserve"> and four-wheeler source</w:t>
      </w:r>
      <w:r w:rsidR="008E10E1" w:rsidRPr="004B00C3">
        <w:rPr>
          <w:rFonts w:ascii="Times New Roman" w:hAnsi="Times New Roman" w:cs="Times New Roman"/>
          <w:color w:val="auto"/>
          <w:sz w:val="24"/>
          <w:szCs w:val="24"/>
        </w:rPr>
        <w:t xml:space="preserve"> factors using constraints option available in US EPA PMF 5.0</w:t>
      </w:r>
      <w:r w:rsidR="001F0B18" w:rsidRPr="004B00C3">
        <w:rPr>
          <w:rFonts w:ascii="Times New Roman" w:hAnsi="Times New Roman" w:cs="Times New Roman"/>
          <w:color w:val="auto"/>
          <w:sz w:val="24"/>
          <w:szCs w:val="24"/>
        </w:rPr>
        <w:t>.</w:t>
      </w:r>
      <w:r w:rsidR="008E10E1" w:rsidRPr="004B00C3">
        <w:rPr>
          <w:rFonts w:ascii="Times New Roman" w:hAnsi="Times New Roman" w:cs="Times New Roman"/>
          <w:color w:val="auto"/>
          <w:sz w:val="24"/>
          <w:szCs w:val="24"/>
        </w:rPr>
        <w:t xml:space="preserve"> Exact details of the</w:t>
      </w:r>
      <w:r w:rsidR="00B14144" w:rsidRPr="004B00C3">
        <w:rPr>
          <w:rFonts w:ascii="Times New Roman" w:hAnsi="Times New Roman" w:cs="Times New Roman"/>
          <w:color w:val="auto"/>
          <w:sz w:val="24"/>
          <w:szCs w:val="24"/>
        </w:rPr>
        <w:t xml:space="preserve"> </w:t>
      </w:r>
      <w:r w:rsidR="008E10E1" w:rsidRPr="004B00C3">
        <w:rPr>
          <w:rFonts w:ascii="Times New Roman" w:hAnsi="Times New Roman" w:cs="Times New Roman"/>
          <w:color w:val="auto"/>
          <w:sz w:val="24"/>
          <w:szCs w:val="24"/>
        </w:rPr>
        <w:t xml:space="preserve">factor contribution </w:t>
      </w:r>
      <w:r w:rsidR="008E10E1" w:rsidRPr="004B00C3">
        <w:rPr>
          <w:rFonts w:ascii="Times New Roman" w:hAnsi="Times New Roman" w:cs="Times New Roman"/>
          <w:color w:val="auto"/>
          <w:sz w:val="24"/>
          <w:szCs w:val="24"/>
        </w:rPr>
        <w:lastRenderedPageBreak/>
        <w:t>constraints mentioning the date and time of the plumes characterizing different sources is also provided.</w:t>
      </w:r>
      <w:bookmarkEnd w:id="34"/>
    </w:p>
    <w:tbl>
      <w:tblPr>
        <w:tblStyle w:val="TableGrid"/>
        <w:tblW w:w="0" w:type="auto"/>
        <w:tblLook w:val="04A0" w:firstRow="1" w:lastRow="0" w:firstColumn="1" w:lastColumn="0" w:noHBand="0" w:noVBand="1"/>
      </w:tblPr>
      <w:tblGrid>
        <w:gridCol w:w="3336"/>
        <w:gridCol w:w="1310"/>
        <w:gridCol w:w="2027"/>
        <w:gridCol w:w="1776"/>
      </w:tblGrid>
      <w:tr w:rsidR="004B00C3" w:rsidRPr="00263E15" w14:paraId="4E9FC83E" w14:textId="77777777" w:rsidTr="00E00912">
        <w:trPr>
          <w:trHeight w:val="574"/>
        </w:trPr>
        <w:tc>
          <w:tcPr>
            <w:tcW w:w="3681" w:type="dxa"/>
            <w:vMerge w:val="restart"/>
          </w:tcPr>
          <w:p w14:paraId="6B5F50FC" w14:textId="77777777" w:rsidR="001F0B18" w:rsidRPr="00263E15" w:rsidRDefault="001F0B18" w:rsidP="004B00C3">
            <w:pPr>
              <w:spacing w:after="160" w:line="360" w:lineRule="auto"/>
              <w:jc w:val="both"/>
              <w:rPr>
                <w:rFonts w:ascii="Times New Roman" w:hAnsi="Times New Roman" w:cs="Times New Roman"/>
                <w:b/>
              </w:rPr>
            </w:pPr>
            <w:r w:rsidRPr="00263E15">
              <w:rPr>
                <w:rFonts w:ascii="Times New Roman" w:hAnsi="Times New Roman" w:cs="Times New Roman"/>
                <w:b/>
              </w:rPr>
              <w:t>PMF SOURCE FACTOR</w:t>
            </w:r>
          </w:p>
        </w:tc>
        <w:tc>
          <w:tcPr>
            <w:tcW w:w="1323" w:type="dxa"/>
            <w:vMerge w:val="restart"/>
          </w:tcPr>
          <w:p w14:paraId="42B2D3C0" w14:textId="77777777" w:rsidR="001F0B18" w:rsidRPr="00263E15" w:rsidRDefault="001F0B18" w:rsidP="004B00C3">
            <w:pPr>
              <w:spacing w:after="160" w:line="360" w:lineRule="auto"/>
              <w:jc w:val="both"/>
              <w:rPr>
                <w:rFonts w:ascii="Times New Roman" w:hAnsi="Times New Roman" w:cs="Times New Roman"/>
                <w:b/>
              </w:rPr>
            </w:pPr>
            <w:r w:rsidRPr="00263E15">
              <w:rPr>
                <w:rFonts w:ascii="Times New Roman" w:hAnsi="Times New Roman" w:cs="Times New Roman"/>
                <w:b/>
              </w:rPr>
              <w:t>DATE (May2012)</w:t>
            </w:r>
          </w:p>
        </w:tc>
        <w:tc>
          <w:tcPr>
            <w:tcW w:w="2221" w:type="dxa"/>
            <w:vMerge w:val="restart"/>
          </w:tcPr>
          <w:p w14:paraId="61723E7F" w14:textId="77777777" w:rsidR="001F0B18" w:rsidRPr="00263E15" w:rsidRDefault="001F0B18" w:rsidP="004B00C3">
            <w:pPr>
              <w:spacing w:after="160" w:line="360" w:lineRule="auto"/>
              <w:jc w:val="both"/>
              <w:rPr>
                <w:rFonts w:ascii="Times New Roman" w:hAnsi="Times New Roman" w:cs="Times New Roman"/>
                <w:b/>
              </w:rPr>
            </w:pPr>
            <w:r w:rsidRPr="00263E15">
              <w:rPr>
                <w:rFonts w:ascii="Times New Roman" w:hAnsi="Times New Roman" w:cs="Times New Roman"/>
                <w:b/>
              </w:rPr>
              <w:t>TIME</w:t>
            </w:r>
          </w:p>
        </w:tc>
        <w:tc>
          <w:tcPr>
            <w:tcW w:w="1791" w:type="dxa"/>
            <w:vMerge w:val="restart"/>
          </w:tcPr>
          <w:p w14:paraId="76D46E7E" w14:textId="77777777" w:rsidR="001F0B18" w:rsidRPr="00263E15" w:rsidRDefault="001F0B18" w:rsidP="004B00C3">
            <w:pPr>
              <w:spacing w:after="160" w:line="360" w:lineRule="auto"/>
              <w:jc w:val="both"/>
              <w:rPr>
                <w:rFonts w:ascii="Times New Roman" w:hAnsi="Times New Roman" w:cs="Times New Roman"/>
                <w:b/>
              </w:rPr>
            </w:pPr>
            <w:r w:rsidRPr="00263E15">
              <w:rPr>
                <w:rFonts w:ascii="Times New Roman" w:hAnsi="Times New Roman" w:cs="Times New Roman"/>
                <w:b/>
              </w:rPr>
              <w:t>CONSTRAINT APPLIED</w:t>
            </w:r>
          </w:p>
        </w:tc>
      </w:tr>
      <w:tr w:rsidR="004B00C3" w:rsidRPr="00263E15" w14:paraId="729C7477" w14:textId="77777777" w:rsidTr="00E00912">
        <w:trPr>
          <w:trHeight w:val="574"/>
        </w:trPr>
        <w:tc>
          <w:tcPr>
            <w:tcW w:w="3681" w:type="dxa"/>
            <w:vMerge/>
          </w:tcPr>
          <w:p w14:paraId="62D1BEB9" w14:textId="77777777" w:rsidR="001F0B18" w:rsidRPr="00263E15" w:rsidRDefault="001F0B18" w:rsidP="004B00C3">
            <w:pPr>
              <w:spacing w:after="160" w:line="360" w:lineRule="auto"/>
              <w:jc w:val="both"/>
              <w:rPr>
                <w:rFonts w:ascii="Times New Roman" w:hAnsi="Times New Roman" w:cs="Times New Roman"/>
                <w:b/>
              </w:rPr>
            </w:pPr>
          </w:p>
        </w:tc>
        <w:tc>
          <w:tcPr>
            <w:tcW w:w="1323" w:type="dxa"/>
            <w:vMerge/>
          </w:tcPr>
          <w:p w14:paraId="238EB4FF" w14:textId="77777777" w:rsidR="001F0B18" w:rsidRPr="00263E15" w:rsidRDefault="001F0B18" w:rsidP="004B00C3">
            <w:pPr>
              <w:spacing w:after="160" w:line="360" w:lineRule="auto"/>
              <w:jc w:val="both"/>
              <w:rPr>
                <w:rFonts w:ascii="Times New Roman" w:hAnsi="Times New Roman" w:cs="Times New Roman"/>
                <w:b/>
              </w:rPr>
            </w:pPr>
          </w:p>
        </w:tc>
        <w:tc>
          <w:tcPr>
            <w:tcW w:w="2221" w:type="dxa"/>
            <w:vMerge/>
          </w:tcPr>
          <w:p w14:paraId="34C262CB" w14:textId="77777777" w:rsidR="001F0B18" w:rsidRPr="00263E15" w:rsidRDefault="001F0B18" w:rsidP="004B00C3">
            <w:pPr>
              <w:spacing w:after="160" w:line="360" w:lineRule="auto"/>
              <w:jc w:val="both"/>
              <w:rPr>
                <w:rFonts w:ascii="Times New Roman" w:hAnsi="Times New Roman" w:cs="Times New Roman"/>
                <w:b/>
              </w:rPr>
            </w:pPr>
          </w:p>
        </w:tc>
        <w:tc>
          <w:tcPr>
            <w:tcW w:w="1791" w:type="dxa"/>
            <w:vMerge/>
          </w:tcPr>
          <w:p w14:paraId="2054DC84" w14:textId="77777777" w:rsidR="001F0B18" w:rsidRPr="00263E15" w:rsidRDefault="001F0B18" w:rsidP="004B00C3">
            <w:pPr>
              <w:spacing w:after="160" w:line="360" w:lineRule="auto"/>
              <w:jc w:val="both"/>
              <w:rPr>
                <w:rFonts w:ascii="Times New Roman" w:hAnsi="Times New Roman" w:cs="Times New Roman"/>
                <w:b/>
              </w:rPr>
            </w:pPr>
          </w:p>
        </w:tc>
      </w:tr>
      <w:tr w:rsidR="004B00C3" w:rsidRPr="00263E15" w14:paraId="32A86174" w14:textId="77777777" w:rsidTr="00E00912">
        <w:tc>
          <w:tcPr>
            <w:tcW w:w="3681" w:type="dxa"/>
          </w:tcPr>
          <w:p w14:paraId="772CE221"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Wheat residue burning</w:t>
            </w:r>
          </w:p>
        </w:tc>
        <w:tc>
          <w:tcPr>
            <w:tcW w:w="1323" w:type="dxa"/>
          </w:tcPr>
          <w:p w14:paraId="0FEBF138"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12</w:t>
            </w:r>
          </w:p>
        </w:tc>
        <w:tc>
          <w:tcPr>
            <w:tcW w:w="2221" w:type="dxa"/>
          </w:tcPr>
          <w:p w14:paraId="6991B41A"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19:00-20:59</w:t>
            </w:r>
          </w:p>
        </w:tc>
        <w:tc>
          <w:tcPr>
            <w:tcW w:w="1791" w:type="dxa"/>
          </w:tcPr>
          <w:p w14:paraId="15B74395"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51F51928" w14:textId="77777777" w:rsidTr="00E00912">
        <w:tc>
          <w:tcPr>
            <w:tcW w:w="3681" w:type="dxa"/>
          </w:tcPr>
          <w:p w14:paraId="00AF6D12"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Wheat residue burning</w:t>
            </w:r>
          </w:p>
        </w:tc>
        <w:tc>
          <w:tcPr>
            <w:tcW w:w="1323" w:type="dxa"/>
          </w:tcPr>
          <w:p w14:paraId="64F7FB6B"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13</w:t>
            </w:r>
          </w:p>
        </w:tc>
        <w:tc>
          <w:tcPr>
            <w:tcW w:w="2221" w:type="dxa"/>
          </w:tcPr>
          <w:p w14:paraId="18751456"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22:00-23:59</w:t>
            </w:r>
          </w:p>
        </w:tc>
        <w:tc>
          <w:tcPr>
            <w:tcW w:w="1791" w:type="dxa"/>
          </w:tcPr>
          <w:p w14:paraId="5E99EBBA"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4F8D4747" w14:textId="77777777" w:rsidTr="00E00912">
        <w:tc>
          <w:tcPr>
            <w:tcW w:w="3681" w:type="dxa"/>
          </w:tcPr>
          <w:p w14:paraId="42D30486"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Wheat residue burning</w:t>
            </w:r>
          </w:p>
        </w:tc>
        <w:tc>
          <w:tcPr>
            <w:tcW w:w="1323" w:type="dxa"/>
          </w:tcPr>
          <w:p w14:paraId="34615F39"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18</w:t>
            </w:r>
          </w:p>
        </w:tc>
        <w:tc>
          <w:tcPr>
            <w:tcW w:w="2221" w:type="dxa"/>
          </w:tcPr>
          <w:p w14:paraId="168EDFAE"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3:00-3:59, 6:00-7:59</w:t>
            </w:r>
          </w:p>
        </w:tc>
        <w:tc>
          <w:tcPr>
            <w:tcW w:w="1791" w:type="dxa"/>
          </w:tcPr>
          <w:p w14:paraId="0227E51D"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187A0B1B" w14:textId="77777777" w:rsidTr="00E00912">
        <w:tc>
          <w:tcPr>
            <w:tcW w:w="3681" w:type="dxa"/>
          </w:tcPr>
          <w:p w14:paraId="79F43C0B"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Wheat residue burning</w:t>
            </w:r>
          </w:p>
        </w:tc>
        <w:tc>
          <w:tcPr>
            <w:tcW w:w="1323" w:type="dxa"/>
          </w:tcPr>
          <w:p w14:paraId="29B06D41"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19</w:t>
            </w:r>
          </w:p>
        </w:tc>
        <w:tc>
          <w:tcPr>
            <w:tcW w:w="2221" w:type="dxa"/>
          </w:tcPr>
          <w:p w14:paraId="705C28CF"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2:00-2:59</w:t>
            </w:r>
          </w:p>
        </w:tc>
        <w:tc>
          <w:tcPr>
            <w:tcW w:w="1791" w:type="dxa"/>
          </w:tcPr>
          <w:p w14:paraId="1A967102"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6A350CC3" w14:textId="77777777" w:rsidTr="00E00912">
        <w:tc>
          <w:tcPr>
            <w:tcW w:w="3681" w:type="dxa"/>
          </w:tcPr>
          <w:p w14:paraId="1D08D930"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Cars</w:t>
            </w:r>
          </w:p>
        </w:tc>
        <w:tc>
          <w:tcPr>
            <w:tcW w:w="1323" w:type="dxa"/>
          </w:tcPr>
          <w:p w14:paraId="7780B9C3"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w:t>
            </w:r>
          </w:p>
        </w:tc>
        <w:tc>
          <w:tcPr>
            <w:tcW w:w="2221" w:type="dxa"/>
          </w:tcPr>
          <w:p w14:paraId="206357F1"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20:00-21:59</w:t>
            </w:r>
          </w:p>
        </w:tc>
        <w:tc>
          <w:tcPr>
            <w:tcW w:w="1791" w:type="dxa"/>
          </w:tcPr>
          <w:p w14:paraId="1E3173D2"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7A7D54FD" w14:textId="77777777" w:rsidTr="00E00912">
        <w:tc>
          <w:tcPr>
            <w:tcW w:w="3681" w:type="dxa"/>
          </w:tcPr>
          <w:p w14:paraId="10378E01"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Cars</w:t>
            </w:r>
          </w:p>
        </w:tc>
        <w:tc>
          <w:tcPr>
            <w:tcW w:w="1323" w:type="dxa"/>
          </w:tcPr>
          <w:p w14:paraId="3E4F64D3"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4</w:t>
            </w:r>
          </w:p>
        </w:tc>
        <w:tc>
          <w:tcPr>
            <w:tcW w:w="2221" w:type="dxa"/>
          </w:tcPr>
          <w:p w14:paraId="06DBCFCB"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19:00-21:59</w:t>
            </w:r>
          </w:p>
        </w:tc>
        <w:tc>
          <w:tcPr>
            <w:tcW w:w="1791" w:type="dxa"/>
          </w:tcPr>
          <w:p w14:paraId="39BF49C1"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11CA4E1A" w14:textId="77777777" w:rsidTr="00E00912">
        <w:tc>
          <w:tcPr>
            <w:tcW w:w="3681" w:type="dxa"/>
          </w:tcPr>
          <w:p w14:paraId="353272FC"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Industrial emissions and solvent use</w:t>
            </w:r>
          </w:p>
        </w:tc>
        <w:tc>
          <w:tcPr>
            <w:tcW w:w="1323" w:type="dxa"/>
          </w:tcPr>
          <w:p w14:paraId="6B71F7CC"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6</w:t>
            </w:r>
          </w:p>
        </w:tc>
        <w:tc>
          <w:tcPr>
            <w:tcW w:w="2221" w:type="dxa"/>
          </w:tcPr>
          <w:p w14:paraId="0E3C4D8A"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4:00-5:59</w:t>
            </w:r>
          </w:p>
        </w:tc>
        <w:tc>
          <w:tcPr>
            <w:tcW w:w="1791" w:type="dxa"/>
          </w:tcPr>
          <w:p w14:paraId="3A77677F"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70199BEA" w14:textId="77777777" w:rsidTr="00E00912">
        <w:tc>
          <w:tcPr>
            <w:tcW w:w="3681" w:type="dxa"/>
          </w:tcPr>
          <w:p w14:paraId="1923028E"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Industrial emissions and solvent use</w:t>
            </w:r>
          </w:p>
        </w:tc>
        <w:tc>
          <w:tcPr>
            <w:tcW w:w="1323" w:type="dxa"/>
          </w:tcPr>
          <w:p w14:paraId="6F25C385"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7</w:t>
            </w:r>
          </w:p>
        </w:tc>
        <w:tc>
          <w:tcPr>
            <w:tcW w:w="2221" w:type="dxa"/>
          </w:tcPr>
          <w:p w14:paraId="16CABF87"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8:00-8:59</w:t>
            </w:r>
          </w:p>
        </w:tc>
        <w:tc>
          <w:tcPr>
            <w:tcW w:w="1791" w:type="dxa"/>
          </w:tcPr>
          <w:p w14:paraId="7B225B68"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71C3218F" w14:textId="77777777" w:rsidTr="00E00912">
        <w:tc>
          <w:tcPr>
            <w:tcW w:w="3681" w:type="dxa"/>
          </w:tcPr>
          <w:p w14:paraId="217F5905"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Biofuel use and waste disposal</w:t>
            </w:r>
          </w:p>
        </w:tc>
        <w:tc>
          <w:tcPr>
            <w:tcW w:w="1323" w:type="dxa"/>
          </w:tcPr>
          <w:p w14:paraId="2D86D5C8"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22</w:t>
            </w:r>
          </w:p>
        </w:tc>
        <w:tc>
          <w:tcPr>
            <w:tcW w:w="2221" w:type="dxa"/>
          </w:tcPr>
          <w:p w14:paraId="28C41FA4"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22:00-22:59</w:t>
            </w:r>
          </w:p>
        </w:tc>
        <w:tc>
          <w:tcPr>
            <w:tcW w:w="1791" w:type="dxa"/>
          </w:tcPr>
          <w:p w14:paraId="06FEA315"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247EE77B" w14:textId="77777777" w:rsidTr="00E00912">
        <w:tc>
          <w:tcPr>
            <w:tcW w:w="3681" w:type="dxa"/>
          </w:tcPr>
          <w:p w14:paraId="65EB6F58"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Biofuel use and waste disposal</w:t>
            </w:r>
          </w:p>
        </w:tc>
        <w:tc>
          <w:tcPr>
            <w:tcW w:w="1323" w:type="dxa"/>
          </w:tcPr>
          <w:p w14:paraId="141B81AD"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23</w:t>
            </w:r>
          </w:p>
        </w:tc>
        <w:tc>
          <w:tcPr>
            <w:tcW w:w="2221" w:type="dxa"/>
          </w:tcPr>
          <w:p w14:paraId="7E4A833D"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12:00-12:59, 6:00-6:59, 22:00-23:59</w:t>
            </w:r>
          </w:p>
        </w:tc>
        <w:tc>
          <w:tcPr>
            <w:tcW w:w="1791" w:type="dxa"/>
          </w:tcPr>
          <w:p w14:paraId="0B99C09C"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4B00C3" w:rsidRPr="00263E15" w14:paraId="1975B20C" w14:textId="77777777" w:rsidTr="00E00912">
        <w:tc>
          <w:tcPr>
            <w:tcW w:w="3681" w:type="dxa"/>
          </w:tcPr>
          <w:p w14:paraId="3383261D"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Biofuel use and waste disposal</w:t>
            </w:r>
          </w:p>
        </w:tc>
        <w:tc>
          <w:tcPr>
            <w:tcW w:w="1323" w:type="dxa"/>
          </w:tcPr>
          <w:p w14:paraId="4959E480"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24</w:t>
            </w:r>
          </w:p>
        </w:tc>
        <w:tc>
          <w:tcPr>
            <w:tcW w:w="2221" w:type="dxa"/>
          </w:tcPr>
          <w:p w14:paraId="189FE4A9"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2:00-4:59, 21:00-22:59</w:t>
            </w:r>
          </w:p>
        </w:tc>
        <w:tc>
          <w:tcPr>
            <w:tcW w:w="1791" w:type="dxa"/>
          </w:tcPr>
          <w:p w14:paraId="4913D8EC"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r w:rsidR="001F0B18" w:rsidRPr="00263E15" w14:paraId="5A581401" w14:textId="77777777" w:rsidTr="00E00912">
        <w:tc>
          <w:tcPr>
            <w:tcW w:w="3681" w:type="dxa"/>
          </w:tcPr>
          <w:p w14:paraId="533C47CE"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Biofuel use and waste disposal</w:t>
            </w:r>
          </w:p>
        </w:tc>
        <w:tc>
          <w:tcPr>
            <w:tcW w:w="1323" w:type="dxa"/>
          </w:tcPr>
          <w:p w14:paraId="4A9B94AF"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25</w:t>
            </w:r>
          </w:p>
        </w:tc>
        <w:tc>
          <w:tcPr>
            <w:tcW w:w="2221" w:type="dxa"/>
          </w:tcPr>
          <w:p w14:paraId="4DA3D829"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7:00-7:59</w:t>
            </w:r>
          </w:p>
        </w:tc>
        <w:tc>
          <w:tcPr>
            <w:tcW w:w="1791" w:type="dxa"/>
          </w:tcPr>
          <w:p w14:paraId="21A88DE3" w14:textId="77777777" w:rsidR="001F0B18" w:rsidRPr="00263E15" w:rsidRDefault="001F0B18" w:rsidP="004B00C3">
            <w:pPr>
              <w:spacing w:after="160" w:line="360" w:lineRule="auto"/>
              <w:jc w:val="both"/>
              <w:rPr>
                <w:rFonts w:ascii="Times New Roman" w:hAnsi="Times New Roman" w:cs="Times New Roman"/>
              </w:rPr>
            </w:pPr>
            <w:r w:rsidRPr="00263E15">
              <w:rPr>
                <w:rFonts w:ascii="Times New Roman" w:hAnsi="Times New Roman" w:cs="Times New Roman"/>
              </w:rPr>
              <w:t>Pull up</w:t>
            </w:r>
          </w:p>
        </w:tc>
      </w:tr>
    </w:tbl>
    <w:p w14:paraId="1E4F38E7" w14:textId="5AD83E96" w:rsidR="0086006B" w:rsidRPr="004B00C3" w:rsidRDefault="001F0B1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Application of the constraint mode: </w:t>
      </w:r>
    </w:p>
    <w:p w14:paraId="41F5949B" w14:textId="77777777" w:rsidR="0086006B" w:rsidRPr="004B00C3" w:rsidRDefault="001F0B18" w:rsidP="004B00C3">
      <w:pPr>
        <w:pStyle w:val="ListParagraph"/>
        <w:numPr>
          <w:ilvl w:val="0"/>
          <w:numId w:val="3"/>
        </w:num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Since wheat residue burning emits large quantities of oxygenated VOCs including methanol and acetic acid, clear separation of combustion derived and photochemically formed oxygenated compounds during daylight hours was an issue with some biomass burning emissions were attributed to the mixed daytime factor in the original solution. To improve the separation between photochemical formation and primary emissions, marked by compounds such as benzene, toluene, xylenes and </w:t>
      </w:r>
      <w:r w:rsidRPr="004B00C3">
        <w:rPr>
          <w:rFonts w:ascii="Times New Roman" w:hAnsi="Times New Roman" w:cs="Times New Roman"/>
          <w:sz w:val="24"/>
          <w:szCs w:val="24"/>
        </w:rPr>
        <w:lastRenderedPageBreak/>
        <w:t xml:space="preserve">trimethylbenzene, acetonitrile and styrene (which cannot be formed photochemically), these compounds were pulled down in the mixed daytime factor. </w:t>
      </w:r>
    </w:p>
    <w:p w14:paraId="2BFF597E" w14:textId="77777777" w:rsidR="0086006B" w:rsidRPr="004B00C3" w:rsidRDefault="001F0B18" w:rsidP="004B00C3">
      <w:pPr>
        <w:pStyle w:val="ListParagraph"/>
        <w:numPr>
          <w:ilvl w:val="0"/>
          <w:numId w:val="3"/>
        </w:num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In addition, the source contribution of the mixed daytime factor was pulled down between 2am and 4am at night. </w:t>
      </w:r>
    </w:p>
    <w:p w14:paraId="64E780A3" w14:textId="72B88626" w:rsidR="001F0B18" w:rsidRPr="004B00C3" w:rsidRDefault="001F0B18" w:rsidP="004B00C3">
      <w:pPr>
        <w:pStyle w:val="ListParagraph"/>
        <w:numPr>
          <w:ilvl w:val="0"/>
          <w:numId w:val="3"/>
        </w:num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For a better separation of different combustion sources, strong plumes which represented the emission signature of the respective source were pulled up for the wheat residue burning, biofuel use and waste disposal, industrial and four-wheeler source as detailed in Table 3.3.  </w:t>
      </w:r>
    </w:p>
    <w:p w14:paraId="05C4AB2D" w14:textId="46171E7B" w:rsidR="001F0B18" w:rsidRPr="004B00C3" w:rsidRDefault="001F0B1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 detailed discussion of the use of constraints in a receptor model has been provided in previous studies (Paatero et al., 2002, 2014; Paatero and Hopke, 2009; Norris et al., 2014; Sarkar et al., 2016). Bootstrap model runs (Brown et al., 2015) were performed to assess the model un- certainty. For bootstrapping, model inputs were initialized to random seed, 100 number of bootstrap runs and default values for both block size (10) and minimum correlation R value (0.6). Bootstrap analysis resulted in no unmapped factors. Except for the car and two-wheeler factor (R = 0.6) for which a certain degree of co-linearity is expected, none of the other factors showed cross-correlation with each other (R &lt; 0.3) and the g-space plot even of this factor pair is well filled. The constraint mode was unable to force the PMF model to separate the wheat-residue burning factor in a five-factor solution without imposing a split between the car and two-wheeler factor, indicating that these two indeed represent distinct source profiles.</w:t>
      </w:r>
    </w:p>
    <w:p w14:paraId="4512A7D2" w14:textId="633D55B1" w:rsidR="00645C48" w:rsidRPr="004B00C3" w:rsidRDefault="00645C48" w:rsidP="004B00C3">
      <w:pPr>
        <w:pStyle w:val="Heading3"/>
        <w:spacing w:line="360" w:lineRule="auto"/>
        <w:jc w:val="both"/>
        <w:rPr>
          <w:rFonts w:ascii="Times New Roman" w:hAnsi="Times New Roman" w:cs="Times New Roman"/>
          <w:b/>
          <w:bCs/>
          <w:color w:val="auto"/>
        </w:rPr>
      </w:pPr>
      <w:bookmarkStart w:id="35" w:name="_Toc146809846"/>
      <w:r w:rsidRPr="004B00C3">
        <w:rPr>
          <w:rFonts w:ascii="Times New Roman" w:hAnsi="Times New Roman" w:cs="Times New Roman"/>
          <w:b/>
          <w:bCs/>
          <w:color w:val="auto"/>
        </w:rPr>
        <w:t>Validation of the PMF output</w:t>
      </w:r>
      <w:bookmarkEnd w:id="35"/>
    </w:p>
    <w:p w14:paraId="443597C5" w14:textId="33F2C857"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PMF generates two matrices from the intrinsic variability in the dataset: a factor contribution matrix and a factor profile matrix.</w:t>
      </w:r>
      <w:r w:rsidR="00263E15">
        <w:rPr>
          <w:rFonts w:ascii="Times New Roman" w:hAnsi="Times New Roman" w:cs="Times New Roman"/>
          <w:sz w:val="24"/>
          <w:szCs w:val="24"/>
        </w:rPr>
        <w:t xml:space="preserve"> </w:t>
      </w:r>
      <w:r w:rsidRPr="004B00C3">
        <w:rPr>
          <w:rFonts w:ascii="Times New Roman" w:hAnsi="Times New Roman" w:cs="Times New Roman"/>
          <w:sz w:val="24"/>
          <w:szCs w:val="24"/>
        </w:rPr>
        <w:t>Traditionally the PMF output has been validated by cross-correlating the factor contribution matrix with independent tracers which were not used to initialize the model but are considered useful tracers for the respective source (Brown et al., 2015; Leuchner and Rappenglück, 2010; Gaimoz et al., 2011; Bon et al.</w:t>
      </w:r>
      <w:r w:rsidR="00F16CA0">
        <w:rPr>
          <w:rFonts w:ascii="Times New Roman" w:hAnsi="Times New Roman" w:cs="Times New Roman"/>
          <w:sz w:val="24"/>
          <w:szCs w:val="24"/>
        </w:rPr>
        <w:t>, 2011; Sarkar et al., 2016). I</w:t>
      </w:r>
      <w:r w:rsidRPr="004B00C3">
        <w:rPr>
          <w:rFonts w:ascii="Times New Roman" w:hAnsi="Times New Roman" w:cs="Times New Roman"/>
          <w:sz w:val="24"/>
          <w:szCs w:val="24"/>
        </w:rPr>
        <w:t xml:space="preserve"> perform this validation step for all six source factors resolved by the PMF model. These were identified as “biofuel use and waste disposal”, “wheat-residue burning”, “four-wheelers”, “two-wheelers”, “industrial emissions and solvent use” and</w:t>
      </w:r>
      <w:r w:rsidR="00F12C7C" w:rsidRPr="004B00C3">
        <w:rPr>
          <w:rFonts w:ascii="Times New Roman" w:hAnsi="Times New Roman" w:cs="Times New Roman"/>
          <w:sz w:val="24"/>
          <w:szCs w:val="24"/>
        </w:rPr>
        <w:t xml:space="preserve"> </w:t>
      </w:r>
      <w:r w:rsidRPr="004B00C3">
        <w:rPr>
          <w:rFonts w:ascii="Times New Roman" w:hAnsi="Times New Roman" w:cs="Times New Roman"/>
          <w:sz w:val="24"/>
          <w:szCs w:val="24"/>
        </w:rPr>
        <w:t>“mixed daytime sources”. The factor contribution for four- wheelers (R = 0.7) and two-wheelers (R = 0.6) correlated best with the independent tracer NO</w:t>
      </w:r>
      <w:r w:rsidRPr="004B00C3">
        <w:rPr>
          <w:rFonts w:ascii="Times New Roman" w:hAnsi="Times New Roman" w:cs="Times New Roman"/>
          <w:sz w:val="24"/>
          <w:szCs w:val="24"/>
          <w:vertAlign w:val="subscript"/>
        </w:rPr>
        <w:t>y</w:t>
      </w:r>
      <w:r w:rsidRPr="004B00C3">
        <w:rPr>
          <w:rFonts w:ascii="Times New Roman" w:hAnsi="Times New Roman" w:cs="Times New Roman"/>
          <w:sz w:val="24"/>
          <w:szCs w:val="24"/>
        </w:rPr>
        <w:t xml:space="preserve">, which is considered to be a vehicular exhaust marker (Ramanathan et al., 1985). The factor contribution of the domestic fuel usage and waste disposal factor </w:t>
      </w:r>
      <w:r w:rsidRPr="004B00C3">
        <w:rPr>
          <w:rFonts w:ascii="Times New Roman" w:hAnsi="Times New Roman" w:cs="Times New Roman"/>
          <w:sz w:val="24"/>
          <w:szCs w:val="24"/>
        </w:rPr>
        <w:lastRenderedPageBreak/>
        <w:t>correlated best with the independent tracer</w:t>
      </w:r>
      <w:r w:rsidR="00B64CE4" w:rsidRPr="004B00C3">
        <w:rPr>
          <w:rFonts w:ascii="Times New Roman" w:hAnsi="Times New Roman" w:cs="Times New Roman"/>
          <w:sz w:val="24"/>
          <w:szCs w:val="24"/>
        </w:rPr>
        <w:t xml:space="preserve"> </w:t>
      </w:r>
      <w:r w:rsidRPr="004B00C3">
        <w:rPr>
          <w:rFonts w:ascii="Times New Roman" w:hAnsi="Times New Roman" w:cs="Times New Roman"/>
          <w:sz w:val="24"/>
          <w:szCs w:val="24"/>
        </w:rPr>
        <w:t>CO (R = 0.9), a proxy for inefficient combustion, while the factor contribution of the industrial emission factor correlated best with the independent tracer SO</w:t>
      </w:r>
      <w:r w:rsidRPr="004B00C3">
        <w:rPr>
          <w:rFonts w:ascii="Times New Roman" w:hAnsi="Times New Roman" w:cs="Times New Roman"/>
          <w:sz w:val="24"/>
          <w:szCs w:val="24"/>
          <w:vertAlign w:val="subscript"/>
        </w:rPr>
        <w:t>2</w:t>
      </w:r>
      <w:r w:rsidRPr="004B00C3">
        <w:rPr>
          <w:rFonts w:ascii="Times New Roman" w:hAnsi="Times New Roman" w:cs="Times New Roman"/>
          <w:sz w:val="24"/>
          <w:szCs w:val="24"/>
        </w:rPr>
        <w:t xml:space="preserve"> (R = 0.6). The wheat-residue burning factor days showed a moderate cross-correlation with MODIS fire counts with an R = 0.4 and a lag of 2 d. O</w:t>
      </w:r>
      <w:r w:rsidRPr="004B00C3">
        <w:rPr>
          <w:rFonts w:ascii="Times New Roman" w:hAnsi="Times New Roman" w:cs="Times New Roman"/>
          <w:sz w:val="24"/>
          <w:szCs w:val="24"/>
          <w:vertAlign w:val="subscript"/>
        </w:rPr>
        <w:t>3</w:t>
      </w:r>
      <w:r w:rsidRPr="004B00C3">
        <w:rPr>
          <w:rFonts w:ascii="Times New Roman" w:hAnsi="Times New Roman" w:cs="Times New Roman"/>
          <w:sz w:val="24"/>
          <w:szCs w:val="24"/>
        </w:rPr>
        <w:t xml:space="preserve"> (R = 0.8) was the best independent tracer for the mixed daytime factor.</w:t>
      </w:r>
    </w:p>
    <w:p w14:paraId="0BB70696" w14:textId="64484741" w:rsidR="009C601E"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However, our study goes one step further than all previous studies in validating the PMF output</w:t>
      </w:r>
      <w:r w:rsidR="00F16CA0">
        <w:rPr>
          <w:rFonts w:ascii="Times New Roman" w:hAnsi="Times New Roman" w:cs="Times New Roman"/>
          <w:sz w:val="24"/>
          <w:szCs w:val="24"/>
        </w:rPr>
        <w:t>. For five out of six factors I</w:t>
      </w:r>
      <w:r w:rsidRPr="004B00C3">
        <w:rPr>
          <w:rFonts w:ascii="Times New Roman" w:hAnsi="Times New Roman" w:cs="Times New Roman"/>
          <w:sz w:val="24"/>
          <w:szCs w:val="24"/>
        </w:rPr>
        <w:t xml:space="preserve"> validated the factor profiles generated by the PMF model against grab samples collected at the source. Factor profiles were cross-correlated with the fingerprints of source samples collected from a number of potential sources</w:t>
      </w:r>
      <w:r w:rsidR="008617C6" w:rsidRPr="004B00C3">
        <w:rPr>
          <w:rFonts w:ascii="Times New Roman" w:hAnsi="Times New Roman" w:cs="Times New Roman"/>
          <w:sz w:val="24"/>
          <w:szCs w:val="24"/>
        </w:rPr>
        <w:t xml:space="preserve"> in and around Mohali region</w:t>
      </w:r>
      <w:r w:rsidRPr="004B00C3">
        <w:rPr>
          <w:rFonts w:ascii="Times New Roman" w:hAnsi="Times New Roman" w:cs="Times New Roman"/>
          <w:sz w:val="24"/>
          <w:szCs w:val="24"/>
        </w:rPr>
        <w:t xml:space="preserve"> including wheat-residue fires </w:t>
      </w:r>
      <w:r w:rsidR="00B14144" w:rsidRPr="004B00C3">
        <w:rPr>
          <w:rFonts w:ascii="Times New Roman" w:hAnsi="Times New Roman" w:cs="Times New Roman"/>
          <w:sz w:val="24"/>
          <w:szCs w:val="24"/>
        </w:rPr>
        <w:t xml:space="preserve">at flaming and smouldering stages </w:t>
      </w:r>
      <w:r w:rsidRPr="004B00C3">
        <w:rPr>
          <w:rFonts w:ascii="Times New Roman" w:hAnsi="Times New Roman" w:cs="Times New Roman"/>
          <w:sz w:val="24"/>
          <w:szCs w:val="24"/>
        </w:rPr>
        <w:t>(Chandra et al., 2017; Kumar</w:t>
      </w:r>
      <w:r w:rsidR="00F60364" w:rsidRPr="004B00C3">
        <w:rPr>
          <w:rFonts w:ascii="Times New Roman" w:hAnsi="Times New Roman" w:cs="Times New Roman"/>
          <w:sz w:val="24"/>
          <w:szCs w:val="24"/>
        </w:rPr>
        <w:t xml:space="preserve"> et al., 2018), ambient air samples from a busy traffic junction (Chandra et al., 2017) and an industrial area (this study), tail-pipe</w:t>
      </w:r>
      <w:r w:rsidR="001212BF" w:rsidRPr="004B00C3">
        <w:rPr>
          <w:rFonts w:ascii="Times New Roman" w:hAnsi="Times New Roman" w:cs="Times New Roman"/>
          <w:sz w:val="24"/>
          <w:szCs w:val="24"/>
        </w:rPr>
        <w:t xml:space="preserve"> emissions</w:t>
      </w:r>
      <w:r w:rsidR="00F60364" w:rsidRPr="004B00C3">
        <w:rPr>
          <w:rFonts w:ascii="Times New Roman" w:hAnsi="Times New Roman" w:cs="Times New Roman"/>
          <w:sz w:val="24"/>
          <w:szCs w:val="24"/>
        </w:rPr>
        <w:t xml:space="preserve"> of various vehicles</w:t>
      </w:r>
      <w:r w:rsidR="001212BF" w:rsidRPr="004B00C3">
        <w:rPr>
          <w:rFonts w:ascii="Times New Roman" w:hAnsi="Times New Roman" w:cs="Times New Roman"/>
          <w:sz w:val="24"/>
          <w:szCs w:val="24"/>
        </w:rPr>
        <w:t xml:space="preserve"> including four wheelers and two wheelers</w:t>
      </w:r>
      <w:r w:rsidR="00F60364" w:rsidRPr="004B00C3">
        <w:rPr>
          <w:rFonts w:ascii="Times New Roman" w:hAnsi="Times New Roman" w:cs="Times New Roman"/>
          <w:sz w:val="24"/>
          <w:szCs w:val="24"/>
        </w:rPr>
        <w:t xml:space="preserve"> (this study), </w:t>
      </w:r>
      <w:r w:rsidR="003472B8" w:rsidRPr="004B00C3">
        <w:rPr>
          <w:rFonts w:ascii="Times New Roman" w:hAnsi="Times New Roman" w:cs="Times New Roman"/>
          <w:sz w:val="24"/>
          <w:szCs w:val="24"/>
        </w:rPr>
        <w:t xml:space="preserve">different types of </w:t>
      </w:r>
      <w:r w:rsidR="00F60364" w:rsidRPr="004B00C3">
        <w:rPr>
          <w:rFonts w:ascii="Times New Roman" w:hAnsi="Times New Roman" w:cs="Times New Roman"/>
          <w:sz w:val="24"/>
          <w:szCs w:val="24"/>
        </w:rPr>
        <w:t xml:space="preserve">waste burning (Sharma et al., 2019), leaf litter burning (this study), domestic biofuel use (Stockwell et al., 2016), and brick kilns (Zhong et al., 2019) to </w:t>
      </w:r>
      <w:r w:rsidR="00084904" w:rsidRPr="004B00C3">
        <w:rPr>
          <w:rFonts w:ascii="Times New Roman" w:hAnsi="Times New Roman" w:cs="Times New Roman"/>
          <w:sz w:val="24"/>
          <w:szCs w:val="24"/>
        </w:rPr>
        <w:t>establish the correspondence between PMF model generated factor profiles and real world pollution sources</w:t>
      </w:r>
      <w:r w:rsidR="00F60364" w:rsidRPr="004B00C3">
        <w:rPr>
          <w:rFonts w:ascii="Times New Roman" w:hAnsi="Times New Roman" w:cs="Times New Roman"/>
          <w:sz w:val="24"/>
          <w:szCs w:val="24"/>
        </w:rPr>
        <w:t xml:space="preserve">. </w:t>
      </w:r>
    </w:p>
    <w:p w14:paraId="54623422" w14:textId="119D9166" w:rsidR="00D22CA8" w:rsidRPr="004B00C3" w:rsidRDefault="00F60364"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Figure 3.</w:t>
      </w:r>
      <w:r w:rsidR="009C601E" w:rsidRPr="004B00C3">
        <w:rPr>
          <w:rFonts w:ascii="Times New Roman" w:hAnsi="Times New Roman" w:cs="Times New Roman"/>
          <w:sz w:val="24"/>
          <w:szCs w:val="24"/>
        </w:rPr>
        <w:t>5</w:t>
      </w:r>
      <w:r w:rsidRPr="004B00C3">
        <w:rPr>
          <w:rFonts w:ascii="Times New Roman" w:hAnsi="Times New Roman" w:cs="Times New Roman"/>
          <w:sz w:val="24"/>
          <w:szCs w:val="24"/>
        </w:rPr>
        <w:t xml:space="preserve"> shows the factor profiles obtained from the PMF run (in dark blue), the percentage of each species explained by the respective PMF factor (red squares) and the source profiles of those sources which best matched the factor profile (in various colors as indicated in the legend). The factor profile of residential fuel usage and waste disposal correlates most strongly with the measured VOC source speciation profiles of domestic cooking (R = 0.8), leaf-litter burning (R = 0.7)  and  smoldering garbage fires (R = 0.6), the wheat-residue burning factor with flaming wheat-residue burning (R = 0.9), the four-wheeler factor with the tailpipe exhaust of petrol-fuelled cars (R = 0.5), gasoline evaporation headspace for diesel (R = 0.5) and urban traffic junction grab samples (R = 0.8), and the two-wheeler factor with the tailpipe exhaust of petrol- fuelled four-stroke two-wheelers (R = 0.6). The industrial emissions correlated best with the source profile of brick kilns (R = 0.5) and ambient air samples collected in an industrial area (0.6). For mixed daytime </w:t>
      </w:r>
      <w:r w:rsidR="001212BF" w:rsidRPr="004B00C3">
        <w:rPr>
          <w:rFonts w:ascii="Times New Roman" w:hAnsi="Times New Roman" w:cs="Times New Roman"/>
          <w:sz w:val="24"/>
          <w:szCs w:val="24"/>
        </w:rPr>
        <w:t>factor</w:t>
      </w:r>
      <w:r w:rsidRPr="004B00C3">
        <w:rPr>
          <w:rFonts w:ascii="Times New Roman" w:hAnsi="Times New Roman" w:cs="Times New Roman"/>
          <w:sz w:val="24"/>
          <w:szCs w:val="24"/>
        </w:rPr>
        <w:t xml:space="preserve"> no source profile sampling is possible</w:t>
      </w:r>
      <w:r w:rsidR="001212BF" w:rsidRPr="004B00C3">
        <w:rPr>
          <w:rFonts w:ascii="Times New Roman" w:hAnsi="Times New Roman" w:cs="Times New Roman"/>
          <w:sz w:val="24"/>
          <w:szCs w:val="24"/>
        </w:rPr>
        <w:t xml:space="preserve">, but the factor derives its validation from excellent correlation value (R=0.8) observed with ozone as an independent tracer, a photochemistry product. </w:t>
      </w:r>
    </w:p>
    <w:p w14:paraId="376DB68B" w14:textId="5FDD440A" w:rsidR="009C601E" w:rsidRDefault="009C601E"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lastRenderedPageBreak/>
        <w:t xml:space="preserve">Figure 3.6 shows the uncertainty assessment for the </w:t>
      </w:r>
      <w:r w:rsidR="00B14144" w:rsidRPr="004B00C3">
        <w:rPr>
          <w:rFonts w:ascii="Times New Roman" w:hAnsi="Times New Roman" w:cs="Times New Roman"/>
          <w:sz w:val="24"/>
          <w:szCs w:val="24"/>
        </w:rPr>
        <w:t>6-factor</w:t>
      </w:r>
      <w:r w:rsidRPr="004B00C3">
        <w:rPr>
          <w:rFonts w:ascii="Times New Roman" w:hAnsi="Times New Roman" w:cs="Times New Roman"/>
          <w:sz w:val="24"/>
          <w:szCs w:val="24"/>
        </w:rPr>
        <w:t xml:space="preserve"> solution using bootstrap runs.</w:t>
      </w:r>
    </w:p>
    <w:p w14:paraId="73E3775A" w14:textId="77777777" w:rsidR="00CA7C1F" w:rsidRPr="004B00C3" w:rsidRDefault="00CA7C1F" w:rsidP="00CA7C1F">
      <w:pPr>
        <w:pStyle w:val="Heading3"/>
        <w:spacing w:line="360" w:lineRule="auto"/>
        <w:jc w:val="both"/>
        <w:rPr>
          <w:rFonts w:ascii="Times New Roman" w:hAnsi="Times New Roman" w:cs="Times New Roman"/>
          <w:b/>
          <w:bCs/>
          <w:color w:val="auto"/>
        </w:rPr>
      </w:pPr>
      <w:bookmarkStart w:id="36" w:name="_Toc146809847"/>
      <w:r w:rsidRPr="004B00C3">
        <w:rPr>
          <w:rFonts w:ascii="Times New Roman" w:hAnsi="Times New Roman" w:cs="Times New Roman"/>
          <w:b/>
          <w:bCs/>
          <w:color w:val="auto"/>
        </w:rPr>
        <w:t>Conditional probability function analysis</w:t>
      </w:r>
      <w:bookmarkEnd w:id="36"/>
    </w:p>
    <w:p w14:paraId="7866A7B6" w14:textId="612A715A" w:rsidR="00CA7C1F" w:rsidRPr="004B00C3" w:rsidRDefault="00F16CA0" w:rsidP="00CA7C1F">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CA7C1F" w:rsidRPr="004B00C3">
        <w:rPr>
          <w:rFonts w:ascii="Times New Roman" w:hAnsi="Times New Roman" w:cs="Times New Roman"/>
          <w:sz w:val="24"/>
          <w:szCs w:val="24"/>
        </w:rPr>
        <w:t xml:space="preserve"> perform a conditional probability function (CPF) analysis (Leuchner and Rappenglück, 2010) which aids in identifying physical locations of different PMF source factors without using back trajectories (Xie and Berkowitz, 2006) The CPF is computed using the factor contribution of the PMF model in combination with the wind direction at the receptor site. It quantifies the probability of factor contributions surpassing a certain threshold (75th percentile) for a particular wind direction sector, thereby highlighting the directional dependency of source factors, and is defined as follows:</w:t>
      </w:r>
    </w:p>
    <w:p w14:paraId="153CE03D" w14:textId="77777777" w:rsidR="00CA7C1F" w:rsidRPr="004B00C3" w:rsidRDefault="00CA7C1F" w:rsidP="00CA7C1F">
      <w:pPr>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CPF= </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∆θ</m:t>
                </m:r>
              </m:sub>
            </m:sSub>
          </m:num>
          <m:den>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∆θ</m:t>
                </m:r>
              </m:sub>
            </m:sSub>
          </m:den>
        </m:f>
        <m:r>
          <w:rPr>
            <w:rFonts w:ascii="Cambria Math" w:hAnsi="Cambria Math" w:cs="Times New Roman"/>
            <w:sz w:val="24"/>
            <w:szCs w:val="24"/>
          </w:rPr>
          <m:t xml:space="preserve"> </m:t>
        </m:r>
      </m:oMath>
      <w:r w:rsidRPr="004B00C3">
        <w:rPr>
          <w:rFonts w:ascii="Times New Roman" w:hAnsi="Times New Roman" w:cs="Times New Roman"/>
          <w:sz w:val="24"/>
          <w:szCs w:val="24"/>
        </w:rPr>
        <w:t xml:space="preserve">                                                                                                                                      (3) </w:t>
      </w:r>
    </w:p>
    <w:p w14:paraId="5B734605" w14:textId="0DE5298A" w:rsidR="00CA7C1F" w:rsidRDefault="00CA7C1F" w:rsidP="00CA7C1F">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where </w:t>
      </w:r>
      <w:r w:rsidRPr="004B00C3">
        <w:rPr>
          <w:rFonts w:ascii="Times New Roman" w:hAnsi="Times New Roman" w:cs="Times New Roman"/>
          <w:i/>
          <w:iCs/>
          <w:sz w:val="24"/>
          <w:szCs w:val="24"/>
        </w:rPr>
        <w:t>m</w:t>
      </w:r>
      <w:r w:rsidRPr="004B00C3">
        <w:rPr>
          <w:rFonts w:ascii="Times New Roman" w:hAnsi="Times New Roman" w:cs="Times New Roman"/>
          <w:sz w:val="24"/>
          <w:szCs w:val="24"/>
          <w:vertAlign w:val="subscript"/>
        </w:rPr>
        <w:t>Δ</w:t>
      </w:r>
      <w:r w:rsidRPr="004B00C3">
        <w:rPr>
          <w:rFonts w:ascii="Times New Roman" w:hAnsi="Times New Roman" w:cs="Times New Roman"/>
          <w:i/>
          <w:iCs/>
          <w:sz w:val="24"/>
          <w:szCs w:val="24"/>
          <w:vertAlign w:val="subscript"/>
        </w:rPr>
        <w:t>θ</w:t>
      </w:r>
      <w:r w:rsidRPr="004B00C3">
        <w:rPr>
          <w:rFonts w:ascii="Times New Roman" w:hAnsi="Times New Roman" w:cs="Times New Roman"/>
          <w:sz w:val="24"/>
          <w:szCs w:val="24"/>
        </w:rPr>
        <w:t xml:space="preserve"> represents the number of data points in the wind direction bin Δ</w:t>
      </w:r>
      <w:r w:rsidRPr="004B00C3">
        <w:rPr>
          <w:rFonts w:ascii="Times New Roman" w:hAnsi="Times New Roman" w:cs="Times New Roman"/>
          <w:i/>
          <w:iCs/>
          <w:sz w:val="24"/>
          <w:szCs w:val="24"/>
        </w:rPr>
        <w:t>θ</w:t>
      </w:r>
      <w:r w:rsidRPr="004B00C3">
        <w:rPr>
          <w:rFonts w:ascii="Times New Roman" w:hAnsi="Times New Roman" w:cs="Times New Roman"/>
          <w:sz w:val="24"/>
          <w:szCs w:val="24"/>
        </w:rPr>
        <w:t xml:space="preserve"> which exceeded the threshold criterion and </w:t>
      </w:r>
      <w:r w:rsidRPr="004B00C3">
        <w:rPr>
          <w:rFonts w:ascii="Times New Roman" w:hAnsi="Times New Roman" w:cs="Times New Roman"/>
          <w:i/>
          <w:iCs/>
          <w:sz w:val="24"/>
          <w:szCs w:val="24"/>
        </w:rPr>
        <w:t>n</w:t>
      </w:r>
      <w:r w:rsidRPr="004B00C3">
        <w:rPr>
          <w:rFonts w:ascii="Times New Roman" w:hAnsi="Times New Roman" w:cs="Times New Roman"/>
          <w:sz w:val="24"/>
          <w:szCs w:val="24"/>
          <w:vertAlign w:val="subscript"/>
        </w:rPr>
        <w:t>Δ</w:t>
      </w:r>
      <w:r w:rsidRPr="004B00C3">
        <w:rPr>
          <w:rFonts w:ascii="Times New Roman" w:hAnsi="Times New Roman" w:cs="Times New Roman"/>
          <w:i/>
          <w:iCs/>
          <w:sz w:val="24"/>
          <w:szCs w:val="24"/>
          <w:vertAlign w:val="subscript"/>
        </w:rPr>
        <w:t>θ</w:t>
      </w:r>
      <w:r w:rsidRPr="004B00C3">
        <w:rPr>
          <w:rFonts w:ascii="Times New Roman" w:hAnsi="Times New Roman" w:cs="Times New Roman"/>
          <w:sz w:val="24"/>
          <w:szCs w:val="24"/>
        </w:rPr>
        <w:t xml:space="preserve"> represents the total number of data points from the same wind direction bin. Δ</w:t>
      </w:r>
      <w:r w:rsidRPr="004B00C3">
        <w:rPr>
          <w:rFonts w:ascii="Times New Roman" w:hAnsi="Times New Roman" w:cs="Times New Roman"/>
          <w:i/>
          <w:iCs/>
          <w:sz w:val="24"/>
          <w:szCs w:val="24"/>
        </w:rPr>
        <w:t>θ</w:t>
      </w:r>
      <w:r w:rsidRPr="004B00C3">
        <w:rPr>
          <w:rFonts w:ascii="Times New Roman" w:hAnsi="Times New Roman" w:cs="Times New Roman"/>
          <w:sz w:val="24"/>
          <w:szCs w:val="24"/>
        </w:rPr>
        <w:t xml:space="preserve"> was assigned a value of 30◦.</w:t>
      </w:r>
    </w:p>
    <w:p w14:paraId="0E68F577" w14:textId="77777777" w:rsidR="00263E15" w:rsidRPr="004B00C3" w:rsidRDefault="00263E15" w:rsidP="00263E15">
      <w:pPr>
        <w:pStyle w:val="Heading3"/>
        <w:spacing w:line="360" w:lineRule="auto"/>
        <w:jc w:val="both"/>
        <w:rPr>
          <w:rFonts w:ascii="Times New Roman" w:hAnsi="Times New Roman" w:cs="Times New Roman"/>
          <w:b/>
          <w:bCs/>
          <w:color w:val="auto"/>
        </w:rPr>
      </w:pPr>
      <w:bookmarkStart w:id="37" w:name="_Toc146809848"/>
      <w:r w:rsidRPr="004B00C3">
        <w:rPr>
          <w:rFonts w:ascii="Times New Roman" w:hAnsi="Times New Roman" w:cs="Times New Roman"/>
          <w:b/>
          <w:bCs/>
          <w:color w:val="auto"/>
        </w:rPr>
        <w:t>Calculation of the ozone formation potential and SOA formation potential</w:t>
      </w:r>
      <w:bookmarkEnd w:id="37"/>
    </w:p>
    <w:p w14:paraId="6B9D8236" w14:textId="77777777" w:rsidR="00263E15" w:rsidRPr="004B00C3" w:rsidRDefault="00263E15" w:rsidP="00263E15">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Ozone production potential (</w:t>
      </w:r>
      <w:bookmarkStart w:id="38" w:name="_Hlk108359261"/>
      <w:r w:rsidRPr="004B00C3">
        <w:rPr>
          <w:rFonts w:ascii="Times New Roman" w:hAnsi="Times New Roman" w:cs="Times New Roman"/>
          <w:sz w:val="24"/>
          <w:szCs w:val="24"/>
        </w:rPr>
        <w:t>O</w:t>
      </w:r>
      <w:r w:rsidRPr="004B00C3">
        <w:rPr>
          <w:rFonts w:ascii="Times New Roman" w:hAnsi="Times New Roman" w:cs="Times New Roman"/>
          <w:sz w:val="24"/>
          <w:szCs w:val="24"/>
          <w:vertAlign w:val="subscript"/>
        </w:rPr>
        <w:t>3</w:t>
      </w:r>
      <w:r w:rsidRPr="004B00C3">
        <w:rPr>
          <w:rFonts w:ascii="Times New Roman" w:hAnsi="Times New Roman" w:cs="Times New Roman"/>
          <w:sz w:val="24"/>
          <w:szCs w:val="24"/>
        </w:rPr>
        <w:t>PP</w:t>
      </w:r>
      <w:bookmarkEnd w:id="38"/>
      <w:r w:rsidRPr="004B00C3">
        <w:rPr>
          <w:rFonts w:ascii="Times New Roman" w:hAnsi="Times New Roman" w:cs="Times New Roman"/>
          <w:sz w:val="24"/>
          <w:szCs w:val="24"/>
        </w:rPr>
        <w:t>) for each of the PMF- derived source factors was calculated based on the method used by Sinha and co-workers (Sinha et al., 2012) using the following equation:</w:t>
      </w:r>
    </w:p>
    <w:p w14:paraId="1499435C" w14:textId="2AD14A9A" w:rsidR="00263E15" w:rsidRPr="004B00C3" w:rsidRDefault="00263E15" w:rsidP="00263E15">
      <w:pPr>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Ozone production potential= </m:t>
        </m:r>
        <m:d>
          <m:dPr>
            <m:ctrlPr>
              <w:rPr>
                <w:rFonts w:ascii="Cambria Math" w:hAnsi="Cambria Math" w:cs="Times New Roman"/>
                <w:i/>
                <w:sz w:val="24"/>
                <w:szCs w:val="24"/>
              </w:rPr>
            </m:ctrlPr>
          </m:dPr>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sSub>
                  <m:sSubPr>
                    <m:ctrlPr>
                      <w:rPr>
                        <w:rFonts w:ascii="Cambria Math" w:hAnsi="Cambria Math" w:cs="Times New Roman"/>
                        <w:i/>
                        <w:sz w:val="24"/>
                        <w:szCs w:val="24"/>
                      </w:rPr>
                    </m:ctrlPr>
                  </m:sSubPr>
                  <m:e>
                    <m:r>
                      <w:rPr>
                        <w:rFonts w:ascii="Cambria Math" w:hAnsi="Cambria Math" w:cs="Times New Roman"/>
                        <w:sz w:val="24"/>
                        <w:szCs w:val="24"/>
                      </w:rPr>
                      <m:t>k</m:t>
                    </m:r>
                  </m:e>
                  <m: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VOC</m:t>
                            </m:r>
                          </m:e>
                          <m:sub>
                            <m:r>
                              <w:rPr>
                                <w:rFonts w:ascii="Cambria Math" w:hAnsi="Cambria Math" w:cs="Times New Roman"/>
                                <w:sz w:val="24"/>
                                <w:szCs w:val="24"/>
                              </w:rPr>
                              <m:t xml:space="preserve">i </m:t>
                            </m:r>
                          </m:sub>
                        </m:sSub>
                        <m:r>
                          <w:rPr>
                            <w:rFonts w:ascii="Cambria Math" w:hAnsi="Cambria Math" w:cs="Times New Roman"/>
                            <w:sz w:val="24"/>
                            <w:szCs w:val="24"/>
                          </w:rPr>
                          <m:t>+OH</m:t>
                        </m:r>
                      </m:e>
                    </m:d>
                    <m:r>
                      <w:rPr>
                        <w:rFonts w:ascii="Cambria Math" w:hAnsi="Cambria Math" w:cs="Times New Roman"/>
                        <w:sz w:val="24"/>
                        <w:szCs w:val="24"/>
                      </w:rPr>
                      <m:t xml:space="preserve"> </m:t>
                    </m:r>
                  </m:sub>
                </m:sSub>
              </m:e>
            </m:nary>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VOC</m:t>
                    </m:r>
                  </m:e>
                  <m:sub>
                    <m:r>
                      <w:rPr>
                        <w:rFonts w:ascii="Cambria Math" w:hAnsi="Cambria Math" w:cs="Times New Roman"/>
                        <w:sz w:val="24"/>
                        <w:szCs w:val="24"/>
                      </w:rPr>
                      <m:t>i</m:t>
                    </m:r>
                  </m:sub>
                </m:sSub>
              </m:e>
            </m:d>
          </m:e>
        </m:d>
        <m:r>
          <w:rPr>
            <w:rFonts w:ascii="Cambria Math" w:hAnsi="Cambria Math" w:cs="Times New Roman"/>
            <w:sz w:val="24"/>
            <w:szCs w:val="24"/>
          </w:rPr>
          <m:t xml:space="preserve">× </m:t>
        </m:r>
        <m:d>
          <m:dPr>
            <m:begChr m:val="["/>
            <m:endChr m:val="]"/>
            <m:ctrlPr>
              <w:rPr>
                <w:rFonts w:ascii="Cambria Math" w:hAnsi="Cambria Math" w:cs="Times New Roman"/>
                <w:i/>
                <w:sz w:val="24"/>
                <w:szCs w:val="24"/>
              </w:rPr>
            </m:ctrlPr>
          </m:dPr>
          <m:e>
            <m:r>
              <w:rPr>
                <w:rFonts w:ascii="Cambria Math" w:hAnsi="Cambria Math" w:cs="Times New Roman"/>
                <w:sz w:val="24"/>
                <w:szCs w:val="24"/>
              </w:rPr>
              <m:t>OH</m:t>
            </m:r>
          </m:e>
        </m:d>
        <m:r>
          <w:rPr>
            <w:rFonts w:ascii="Cambria Math" w:hAnsi="Cambria Math" w:cs="Times New Roman"/>
            <w:sz w:val="24"/>
            <w:szCs w:val="24"/>
          </w:rPr>
          <m:t xml:space="preserve"> ×n</m:t>
        </m:r>
      </m:oMath>
      <w:r w:rsidRPr="004B00C3">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B00C3">
        <w:rPr>
          <w:rFonts w:ascii="Times New Roman" w:hAnsi="Times New Roman" w:cs="Times New Roman"/>
          <w:sz w:val="24"/>
          <w:szCs w:val="24"/>
        </w:rPr>
        <w:t>(4)</w:t>
      </w:r>
    </w:p>
    <w:p w14:paraId="56B9F012" w14:textId="77777777" w:rsidR="00263E15" w:rsidRPr="004B00C3" w:rsidRDefault="00263E15" w:rsidP="00263E15">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where n stands for the number of ozone molecules produced in the oxidation of VOC</w:t>
      </w:r>
      <w:r w:rsidRPr="004B00C3">
        <w:rPr>
          <w:rFonts w:ascii="Times New Roman" w:hAnsi="Times New Roman" w:cs="Times New Roman"/>
          <w:i/>
          <w:iCs/>
          <w:sz w:val="24"/>
          <w:szCs w:val="24"/>
          <w:vertAlign w:val="subscript"/>
        </w:rPr>
        <w:t>i</w:t>
      </w:r>
      <w:r w:rsidRPr="004B00C3">
        <w:rPr>
          <w:rFonts w:ascii="Times New Roman" w:hAnsi="Times New Roman" w:cs="Times New Roman"/>
          <w:sz w:val="24"/>
          <w:szCs w:val="24"/>
        </w:rPr>
        <w:t xml:space="preserve"> using n = 2 and [OH] = 10</w:t>
      </w:r>
      <w:r w:rsidRPr="004B00C3">
        <w:rPr>
          <w:rFonts w:ascii="Times New Roman" w:hAnsi="Times New Roman" w:cs="Times New Roman"/>
          <w:sz w:val="24"/>
          <w:szCs w:val="24"/>
          <w:vertAlign w:val="superscript"/>
        </w:rPr>
        <w:t xml:space="preserve">6 </w:t>
      </w:r>
      <w:r w:rsidRPr="004B00C3">
        <w:rPr>
          <w:rFonts w:ascii="Times New Roman" w:hAnsi="Times New Roman" w:cs="Times New Roman"/>
          <w:sz w:val="24"/>
          <w:szCs w:val="24"/>
        </w:rPr>
        <w:t>molecules/cm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The values were summed up for all the VOCs for obtaining the ozone production potential corresponding to each of the PMF-derived factors for the daytime hours (07:00–18:00 LT).</w:t>
      </w:r>
    </w:p>
    <w:p w14:paraId="363BBF9A" w14:textId="77777777" w:rsidR="00263E15" w:rsidRPr="004B00C3" w:rsidRDefault="00263E15" w:rsidP="00263E15">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Secondary organic aerosol (SOA) potential was calculated for the PMF source factors using the literature SOA yields (Derwent et al., 2010) under low-NOx conditions for benzene, toluene, ethylbenzene, trimethylbenzene, styrene, methanol, isoprene, formaldehyde, acetaldehyde, acetone, formic acid and acetic acid using the equation given below for 07:00–18:00 LT.</w:t>
      </w:r>
    </w:p>
    <w:p w14:paraId="2D32415A" w14:textId="77777777" w:rsidR="00263E15" w:rsidRPr="004B00C3" w:rsidRDefault="00263E15" w:rsidP="00263E15">
      <w:pPr>
        <w:spacing w:line="360" w:lineRule="auto"/>
        <w:jc w:val="both"/>
        <w:rPr>
          <w:rFonts w:ascii="Times New Roman" w:hAnsi="Times New Roman" w:cs="Times New Roman"/>
          <w:sz w:val="24"/>
          <w:szCs w:val="24"/>
        </w:rPr>
      </w:pPr>
      <m:oMath>
        <m:r>
          <w:rPr>
            <w:rFonts w:ascii="Cambria Math" w:hAnsi="Cambria Math" w:cs="Times New Roman"/>
            <w:sz w:val="24"/>
            <w:szCs w:val="24"/>
          </w:rPr>
          <m:t xml:space="preserve">SOA potential= </m:t>
        </m:r>
        <m:d>
          <m:dPr>
            <m:ctrlPr>
              <w:rPr>
                <w:rFonts w:ascii="Cambria Math" w:hAnsi="Cambria Math" w:cs="Times New Roman"/>
                <w:i/>
                <w:sz w:val="24"/>
                <w:szCs w:val="24"/>
              </w:rPr>
            </m:ctrlPr>
          </m:dPr>
          <m:e>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i</m:t>
                </m:r>
              </m:sub>
              <m:sup/>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VOC</m:t>
                    </m:r>
                  </m:e>
                  <m:sub>
                    <m:r>
                      <w:rPr>
                        <w:rFonts w:ascii="Cambria Math" w:hAnsi="Cambria Math" w:cs="Times New Roman"/>
                        <w:sz w:val="24"/>
                        <w:szCs w:val="24"/>
                      </w:rPr>
                      <m:t>i</m:t>
                    </m:r>
                  </m:sub>
                </m:sSub>
              </m:e>
            </m:nary>
            <m:r>
              <w:rPr>
                <w:rFonts w:ascii="Cambria Math" w:hAnsi="Cambria Math" w:cs="Times New Roman"/>
                <w:sz w:val="24"/>
                <w:szCs w:val="24"/>
              </w:rPr>
              <m:t>]</m:t>
            </m:r>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SOA</m:t>
                    </m:r>
                  </m:e>
                  <m:sub>
                    <m:r>
                      <w:rPr>
                        <w:rFonts w:ascii="Cambria Math" w:hAnsi="Cambria Math" w:cs="Times New Roman"/>
                        <w:sz w:val="24"/>
                        <w:szCs w:val="24"/>
                      </w:rPr>
                      <m:t>i</m:t>
                    </m:r>
                  </m:sub>
                </m:sSub>
              </m:e>
            </m:d>
          </m:e>
        </m:d>
      </m:oMath>
      <w:r w:rsidRPr="004B00C3">
        <w:rPr>
          <w:rFonts w:ascii="Times New Roman" w:hAnsi="Times New Roman" w:cs="Times New Roman"/>
          <w:sz w:val="24"/>
          <w:szCs w:val="24"/>
        </w:rPr>
        <w:t xml:space="preserve">                                                                                               (5)</w:t>
      </w:r>
    </w:p>
    <w:p w14:paraId="33D96E6A" w14:textId="2744ABE2" w:rsidR="009C601E" w:rsidRPr="004B00C3" w:rsidRDefault="009C601E" w:rsidP="004B00C3">
      <w:pPr>
        <w:spacing w:line="360" w:lineRule="auto"/>
        <w:jc w:val="both"/>
        <w:rPr>
          <w:rFonts w:ascii="Times New Roman" w:hAnsi="Times New Roman" w:cs="Times New Roman"/>
          <w:sz w:val="24"/>
          <w:szCs w:val="24"/>
        </w:rPr>
      </w:pPr>
    </w:p>
    <w:p w14:paraId="69E1AAD0" w14:textId="67BF819B" w:rsidR="00F60364" w:rsidRPr="004B00C3" w:rsidRDefault="00D22CA8"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3E057740" wp14:editId="0D4D2C9C">
            <wp:extent cx="5305425" cy="6613246"/>
            <wp:effectExtent l="0" t="0" r="0" b="0"/>
            <wp:docPr id="9"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jpeg"/>
                    <pic:cNvPicPr/>
                  </pic:nvPicPr>
                  <pic:blipFill>
                    <a:blip r:embed="rId19" cstate="print"/>
                    <a:stretch>
                      <a:fillRect/>
                    </a:stretch>
                  </pic:blipFill>
                  <pic:spPr>
                    <a:xfrm>
                      <a:off x="0" y="0"/>
                      <a:ext cx="5306618" cy="6614733"/>
                    </a:xfrm>
                    <a:prstGeom prst="rect">
                      <a:avLst/>
                    </a:prstGeom>
                  </pic:spPr>
                </pic:pic>
              </a:graphicData>
            </a:graphic>
          </wp:inline>
        </w:drawing>
      </w:r>
    </w:p>
    <w:p w14:paraId="29263A6A" w14:textId="3B9C8D10" w:rsidR="00D22CA8" w:rsidRPr="00263E15" w:rsidRDefault="003E0353" w:rsidP="00263E15">
      <w:pPr>
        <w:pStyle w:val="Caption"/>
        <w:spacing w:line="360" w:lineRule="auto"/>
        <w:jc w:val="both"/>
        <w:rPr>
          <w:rFonts w:ascii="Times New Roman" w:hAnsi="Times New Roman" w:cs="Times New Roman"/>
          <w:color w:val="auto"/>
          <w:sz w:val="24"/>
          <w:szCs w:val="24"/>
        </w:rPr>
      </w:pPr>
      <w:bookmarkStart w:id="39" w:name="_Toc133577924"/>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5</w:t>
      </w:r>
      <w:r w:rsidRPr="004B00C3">
        <w:rPr>
          <w:rFonts w:ascii="Times New Roman" w:hAnsi="Times New Roman" w:cs="Times New Roman"/>
          <w:color w:val="auto"/>
          <w:sz w:val="24"/>
          <w:szCs w:val="24"/>
        </w:rPr>
        <w:fldChar w:fldCharType="end"/>
      </w:r>
      <w:r w:rsidR="00D22CA8" w:rsidRPr="004B00C3">
        <w:rPr>
          <w:rFonts w:ascii="Times New Roman" w:hAnsi="Times New Roman" w:cs="Times New Roman"/>
          <w:color w:val="auto"/>
          <w:sz w:val="24"/>
          <w:szCs w:val="24"/>
        </w:rPr>
        <w:t xml:space="preserve"> Factor profile composition for 6 PMF resolved factors at IISER-Mohali. It displays the normalized source fingerprints of the PMF factors (dark blue) and samples collected at the source (in various colors) in bar-chart form. The value of the normalized species contribution is depicted on the left-hand axis. </w:t>
      </w:r>
      <w:r w:rsidR="006E1B13" w:rsidRPr="004B00C3">
        <w:rPr>
          <w:rFonts w:ascii="Times New Roman" w:hAnsi="Times New Roman" w:cs="Times New Roman"/>
          <w:color w:val="auto"/>
          <w:sz w:val="24"/>
          <w:szCs w:val="24"/>
        </w:rPr>
        <w:t xml:space="preserve">To facilitate the comparison, factor profiles comprising of the concentration of different species in µg/m³ and emission factors reported in g/kg of fuel were normalized using the following equation: </w:t>
      </w:r>
      <w:r w:rsidR="006E1B13" w:rsidRPr="004B00C3">
        <w:rPr>
          <w:rFonts w:ascii="Cambria Math" w:hAnsi="Cambria Math" w:cs="Cambria Math"/>
          <w:color w:val="auto"/>
          <w:sz w:val="24"/>
          <w:szCs w:val="24"/>
        </w:rPr>
        <w:t>𝑥</w:t>
      </w:r>
      <w:r w:rsidR="006E1B13" w:rsidRPr="004B00C3">
        <w:rPr>
          <w:rFonts w:ascii="Times New Roman" w:hAnsi="Times New Roman" w:cs="Times New Roman"/>
          <w:color w:val="auto"/>
          <w:sz w:val="24"/>
          <w:szCs w:val="24"/>
        </w:rPr>
        <w:t xml:space="preserve">′ = </w:t>
      </w:r>
      <w:r w:rsidR="006E1B13" w:rsidRPr="004B00C3">
        <w:rPr>
          <w:rFonts w:ascii="Cambria Math" w:hAnsi="Cambria Math" w:cs="Cambria Math"/>
          <w:color w:val="auto"/>
          <w:sz w:val="24"/>
          <w:szCs w:val="24"/>
        </w:rPr>
        <w:t>𝑥</w:t>
      </w:r>
      <w:r w:rsidR="006E1B13" w:rsidRPr="004B00C3">
        <w:rPr>
          <w:rFonts w:ascii="Times New Roman" w:hAnsi="Times New Roman" w:cs="Times New Roman"/>
          <w:color w:val="auto"/>
          <w:sz w:val="24"/>
          <w:szCs w:val="24"/>
        </w:rPr>
        <w:t xml:space="preserve"> / max(</w:t>
      </w:r>
      <w:r w:rsidR="006E1B13" w:rsidRPr="004B00C3">
        <w:rPr>
          <w:rFonts w:ascii="Cambria Math" w:hAnsi="Cambria Math" w:cs="Cambria Math"/>
          <w:color w:val="auto"/>
          <w:sz w:val="24"/>
          <w:szCs w:val="24"/>
        </w:rPr>
        <w:t>𝑥</w:t>
      </w:r>
      <w:r w:rsidR="006E1B13" w:rsidRPr="00263E15">
        <w:rPr>
          <w:rFonts w:ascii="Times New Roman" w:hAnsi="Times New Roman" w:cs="Times New Roman"/>
          <w:color w:val="auto"/>
          <w:sz w:val="24"/>
          <w:szCs w:val="24"/>
        </w:rPr>
        <w:t>)</w:t>
      </w:r>
      <w:bookmarkEnd w:id="39"/>
      <w:r w:rsidR="00263E15">
        <w:rPr>
          <w:rFonts w:ascii="Times New Roman" w:hAnsi="Times New Roman" w:cs="Times New Roman"/>
          <w:color w:val="auto"/>
          <w:sz w:val="24"/>
          <w:szCs w:val="24"/>
        </w:rPr>
        <w:t xml:space="preserve">. </w:t>
      </w:r>
      <w:r w:rsidR="00D22CA8" w:rsidRPr="00263E15">
        <w:rPr>
          <w:rFonts w:ascii="Times New Roman" w:hAnsi="Times New Roman" w:cs="Times New Roman"/>
          <w:color w:val="auto"/>
          <w:sz w:val="24"/>
          <w:szCs w:val="24"/>
        </w:rPr>
        <w:t>The percentage of each species explained by each of the PMF factors is displayed in the form of a red square to be read from the right-hand axis</w:t>
      </w:r>
      <w:r w:rsidR="00D22CA8" w:rsidRPr="004B00C3">
        <w:rPr>
          <w:rFonts w:ascii="Times New Roman" w:hAnsi="Times New Roman" w:cs="Times New Roman"/>
          <w:sz w:val="24"/>
          <w:szCs w:val="24"/>
        </w:rPr>
        <w:t>.</w:t>
      </w:r>
    </w:p>
    <w:p w14:paraId="6E071F42" w14:textId="77777777" w:rsidR="00111DD7" w:rsidRPr="004B00C3" w:rsidRDefault="00111DD7" w:rsidP="004B00C3">
      <w:pPr>
        <w:spacing w:line="360" w:lineRule="auto"/>
        <w:jc w:val="both"/>
        <w:rPr>
          <w:rFonts w:ascii="Times New Roman" w:hAnsi="Times New Roman" w:cs="Times New Roman"/>
          <w:sz w:val="24"/>
          <w:szCs w:val="24"/>
        </w:rPr>
      </w:pPr>
    </w:p>
    <w:p w14:paraId="3CB43904" w14:textId="53D66B18" w:rsidR="0099168C" w:rsidRPr="004B00C3" w:rsidRDefault="0099168C"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2BB121C8" wp14:editId="1DFDFD92">
            <wp:extent cx="5413400" cy="8020050"/>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jpeg"/>
                    <pic:cNvPicPr/>
                  </pic:nvPicPr>
                  <pic:blipFill>
                    <a:blip r:embed="rId20" cstate="print"/>
                    <a:stretch>
                      <a:fillRect/>
                    </a:stretch>
                  </pic:blipFill>
                  <pic:spPr>
                    <a:xfrm>
                      <a:off x="0" y="0"/>
                      <a:ext cx="5416823" cy="8025121"/>
                    </a:xfrm>
                    <a:prstGeom prst="rect">
                      <a:avLst/>
                    </a:prstGeom>
                  </pic:spPr>
                </pic:pic>
              </a:graphicData>
            </a:graphic>
          </wp:inline>
        </w:drawing>
      </w:r>
    </w:p>
    <w:p w14:paraId="63D76915" w14:textId="772372E2" w:rsidR="0086006B" w:rsidRPr="004B00C3" w:rsidRDefault="003E0353" w:rsidP="00520B72">
      <w:pPr>
        <w:pStyle w:val="Caption"/>
        <w:spacing w:line="360" w:lineRule="auto"/>
        <w:jc w:val="both"/>
        <w:rPr>
          <w:rFonts w:ascii="Times New Roman" w:hAnsi="Times New Roman" w:cs="Times New Roman"/>
          <w:color w:val="auto"/>
          <w:sz w:val="24"/>
          <w:szCs w:val="24"/>
        </w:rPr>
      </w:pPr>
      <w:bookmarkStart w:id="40" w:name="_Toc133577925"/>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6</w:t>
      </w:r>
      <w:r w:rsidRPr="004B00C3">
        <w:rPr>
          <w:rFonts w:ascii="Times New Roman" w:hAnsi="Times New Roman" w:cs="Times New Roman"/>
          <w:color w:val="auto"/>
          <w:sz w:val="24"/>
          <w:szCs w:val="24"/>
        </w:rPr>
        <w:fldChar w:fldCharType="end"/>
      </w:r>
      <w:r w:rsidR="0086006B" w:rsidRPr="004B00C3">
        <w:rPr>
          <w:rFonts w:ascii="Times New Roman" w:hAnsi="Times New Roman" w:cs="Times New Roman"/>
          <w:color w:val="auto"/>
          <w:sz w:val="24"/>
          <w:szCs w:val="24"/>
        </w:rPr>
        <w:t xml:space="preserve"> Uncertainty assessment for the </w:t>
      </w:r>
      <w:r w:rsidR="00716723" w:rsidRPr="004B00C3">
        <w:rPr>
          <w:rFonts w:ascii="Times New Roman" w:hAnsi="Times New Roman" w:cs="Times New Roman"/>
          <w:color w:val="auto"/>
          <w:sz w:val="24"/>
          <w:szCs w:val="24"/>
        </w:rPr>
        <w:t>6-factor</w:t>
      </w:r>
      <w:r w:rsidR="0086006B" w:rsidRPr="004B00C3">
        <w:rPr>
          <w:rFonts w:ascii="Times New Roman" w:hAnsi="Times New Roman" w:cs="Times New Roman"/>
          <w:color w:val="auto"/>
          <w:sz w:val="24"/>
          <w:szCs w:val="24"/>
        </w:rPr>
        <w:t xml:space="preserve"> solution using bootstrap runs.</w:t>
      </w:r>
      <w:bookmarkEnd w:id="40"/>
    </w:p>
    <w:p w14:paraId="64A73ED4" w14:textId="412F929D" w:rsidR="00645C48" w:rsidRPr="004B00C3" w:rsidRDefault="00645C48" w:rsidP="004B00C3">
      <w:pPr>
        <w:pStyle w:val="Heading3"/>
        <w:spacing w:line="360" w:lineRule="auto"/>
        <w:jc w:val="both"/>
        <w:rPr>
          <w:rFonts w:ascii="Times New Roman" w:hAnsi="Times New Roman" w:cs="Times New Roman"/>
          <w:b/>
          <w:bCs/>
          <w:color w:val="auto"/>
        </w:rPr>
      </w:pPr>
      <w:bookmarkStart w:id="41" w:name="_Toc146809849"/>
      <w:r w:rsidRPr="004B00C3">
        <w:rPr>
          <w:rFonts w:ascii="Times New Roman" w:hAnsi="Times New Roman" w:cs="Times New Roman"/>
          <w:b/>
          <w:bCs/>
          <w:color w:val="auto"/>
        </w:rPr>
        <w:lastRenderedPageBreak/>
        <w:t xml:space="preserve">Methodology for the comparison of PMF source factors with </w:t>
      </w:r>
      <w:r w:rsidR="00EC6847" w:rsidRPr="004B00C3">
        <w:rPr>
          <w:rFonts w:ascii="Times New Roman" w:hAnsi="Times New Roman" w:cs="Times New Roman"/>
          <w:b/>
          <w:bCs/>
          <w:color w:val="auto"/>
        </w:rPr>
        <w:t xml:space="preserve">the </w:t>
      </w:r>
      <w:r w:rsidRPr="004B00C3">
        <w:rPr>
          <w:rFonts w:ascii="Times New Roman" w:hAnsi="Times New Roman" w:cs="Times New Roman"/>
          <w:b/>
          <w:bCs/>
          <w:color w:val="auto"/>
        </w:rPr>
        <w:t>existing emission inventories</w:t>
      </w:r>
      <w:bookmarkEnd w:id="41"/>
    </w:p>
    <w:p w14:paraId="4068AFE5" w14:textId="77777777" w:rsidR="0077332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The Global Emission Database for Global Atmospheric Research (EDGARv4.3.2) inventory for the year 2012 (Huang et al., 2017) and two regional emission inventories, the Regional Emission inventory in Asia (REAS v2.1) for the year 2008 (Kurokawa et al., 2013) and the Greenhouse Gas and Air Pollution Interactions and Synergies model (GAINS) (Amann et al., 2011) for the year 2010 (Stohl et al., 2015), were compared with our PMF output. The gridded inventory was filtered for latitude 27.4–34.9 </w:t>
      </w:r>
      <w:r w:rsidR="000F14B0"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 xml:space="preserve">N and longitude 72–79.8 </w:t>
      </w:r>
      <w:r w:rsidR="000F14B0"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E, i.e., the fetch region from which the air mass trajectories reach the receptor site within 1 d. This filtering is required because compounds with photochemical lifetimes of less than a day (e.g., styrene, C-8 and C-9 aromatics) feature prominently in several source profiles, indicating that most of the transport sector emission, were less than a day old when they reached the receptor site. Other compounds with longer lifetimes such as toluene (2 d), benzene (6 d) or acetonitrile (months) can reach the site from more distant</w:t>
      </w:r>
      <w:r w:rsidR="00F43D79" w:rsidRPr="004B00C3">
        <w:rPr>
          <w:rFonts w:ascii="Times New Roman" w:hAnsi="Times New Roman" w:cs="Times New Roman"/>
          <w:sz w:val="24"/>
          <w:szCs w:val="24"/>
        </w:rPr>
        <w:t xml:space="preserve"> </w:t>
      </w:r>
      <w:r w:rsidRPr="004B00C3">
        <w:rPr>
          <w:rFonts w:ascii="Times New Roman" w:hAnsi="Times New Roman" w:cs="Times New Roman"/>
          <w:sz w:val="24"/>
          <w:szCs w:val="24"/>
        </w:rPr>
        <w:t>sources. The wheat-residue burning source shows the highest</w:t>
      </w:r>
      <w:r w:rsidR="003267FE" w:rsidRPr="004B00C3">
        <w:rPr>
          <w:rFonts w:ascii="Times New Roman" w:hAnsi="Times New Roman" w:cs="Times New Roman"/>
          <w:sz w:val="24"/>
          <w:szCs w:val="24"/>
        </w:rPr>
        <w:t xml:space="preserve"> </w:t>
      </w:r>
      <w:r w:rsidRPr="004B00C3">
        <w:rPr>
          <w:rFonts w:ascii="Times New Roman" w:hAnsi="Times New Roman" w:cs="Times New Roman"/>
          <w:sz w:val="24"/>
          <w:szCs w:val="24"/>
        </w:rPr>
        <w:t>cross-correlation with the regional fire counts for a lag time of 2 d, indicating that emissions from distant sources can and do impact the site with a time lag. The chosen fetch region includes the areas where the maximum number of wheat-residue burning fire counts are observed while avoiding a size that is too large to be consistent with the relatively unaltered signature of some of the other PMF source profiles.</w:t>
      </w:r>
    </w:p>
    <w:p w14:paraId="4BEAE1F7" w14:textId="25E2F10A"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Annual emissions were available for EDGAR</w:t>
      </w:r>
      <w:r w:rsidR="00773328"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(2012) and GAINS (2010), whereas REAS provided monthly data (May 2008). However, Fig. </w:t>
      </w:r>
      <w:r w:rsidR="00773328" w:rsidRPr="004B00C3">
        <w:rPr>
          <w:rFonts w:ascii="Times New Roman" w:hAnsi="Times New Roman" w:cs="Times New Roman"/>
          <w:sz w:val="24"/>
          <w:szCs w:val="24"/>
        </w:rPr>
        <w:t>3.</w:t>
      </w:r>
      <w:r w:rsidR="004C2392" w:rsidRPr="004B00C3">
        <w:rPr>
          <w:rFonts w:ascii="Times New Roman" w:hAnsi="Times New Roman" w:cs="Times New Roman"/>
          <w:sz w:val="24"/>
          <w:szCs w:val="24"/>
        </w:rPr>
        <w:t>7</w:t>
      </w:r>
      <w:r w:rsidRPr="004B00C3">
        <w:rPr>
          <w:rFonts w:ascii="Times New Roman" w:hAnsi="Times New Roman" w:cs="Times New Roman"/>
          <w:sz w:val="24"/>
          <w:szCs w:val="24"/>
        </w:rPr>
        <w:t xml:space="preserve"> shows that despite providing</w:t>
      </w:r>
      <w:r w:rsidR="00773328" w:rsidRPr="004B00C3">
        <w:rPr>
          <w:rFonts w:ascii="Times New Roman" w:hAnsi="Times New Roman" w:cs="Times New Roman"/>
          <w:sz w:val="24"/>
          <w:szCs w:val="24"/>
        </w:rPr>
        <w:t xml:space="preserve"> </w:t>
      </w:r>
      <w:r w:rsidRPr="004B00C3">
        <w:rPr>
          <w:rFonts w:ascii="Times New Roman" w:hAnsi="Times New Roman" w:cs="Times New Roman"/>
          <w:sz w:val="24"/>
          <w:szCs w:val="24"/>
        </w:rPr>
        <w:t>monthly data, the REAS emission inventory has very little seasonality for any of the sources.</w:t>
      </w:r>
    </w:p>
    <w:p w14:paraId="69825E7E" w14:textId="77777777" w:rsidR="00773328" w:rsidRPr="004B00C3" w:rsidRDefault="00773328"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6A1CD16C" wp14:editId="09992BC1">
            <wp:extent cx="5359400" cy="1800369"/>
            <wp:effectExtent l="0" t="0" r="0" b="9525"/>
            <wp:docPr id="1" name="Picture 1" descr="C:\Users\Bharat Jangra\Desktop\rea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harat Jangra\Desktop\reas.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15375" cy="1819173"/>
                    </a:xfrm>
                    <a:prstGeom prst="rect">
                      <a:avLst/>
                    </a:prstGeom>
                    <a:noFill/>
                    <a:ln>
                      <a:noFill/>
                    </a:ln>
                  </pic:spPr>
                </pic:pic>
              </a:graphicData>
            </a:graphic>
          </wp:inline>
        </w:drawing>
      </w:r>
    </w:p>
    <w:p w14:paraId="5CD1C024" w14:textId="57AB2554" w:rsidR="00DD09D7" w:rsidRPr="004B00C3" w:rsidRDefault="003E0353" w:rsidP="00520B72">
      <w:pPr>
        <w:pStyle w:val="Caption"/>
        <w:spacing w:line="360" w:lineRule="auto"/>
        <w:jc w:val="both"/>
        <w:rPr>
          <w:rFonts w:ascii="Times New Roman" w:hAnsi="Times New Roman" w:cs="Times New Roman"/>
          <w:color w:val="auto"/>
          <w:sz w:val="24"/>
          <w:szCs w:val="24"/>
        </w:rPr>
      </w:pPr>
      <w:bookmarkStart w:id="42" w:name="_Toc133577926"/>
      <w:r w:rsidRPr="004B00C3">
        <w:rPr>
          <w:rFonts w:ascii="Times New Roman" w:hAnsi="Times New Roman" w:cs="Times New Roman"/>
          <w:color w:val="auto"/>
          <w:sz w:val="24"/>
          <w:szCs w:val="24"/>
        </w:rPr>
        <w:lastRenderedPageBreak/>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7</w:t>
      </w:r>
      <w:r w:rsidRPr="004B00C3">
        <w:rPr>
          <w:rFonts w:ascii="Times New Roman" w:hAnsi="Times New Roman" w:cs="Times New Roman"/>
          <w:color w:val="auto"/>
          <w:sz w:val="24"/>
          <w:szCs w:val="24"/>
        </w:rPr>
        <w:fldChar w:fldCharType="end"/>
      </w:r>
      <w:r w:rsidR="00773328" w:rsidRPr="004B00C3">
        <w:rPr>
          <w:rFonts w:ascii="Times New Roman" w:hAnsi="Times New Roman" w:cs="Times New Roman"/>
          <w:color w:val="auto"/>
          <w:sz w:val="24"/>
          <w:szCs w:val="24"/>
        </w:rPr>
        <w:t xml:space="preserve"> REAS database comparison to VOC source sectors on monthly and yearly resolution scales.</w:t>
      </w:r>
      <w:bookmarkEnd w:id="42"/>
    </w:p>
    <w:p w14:paraId="0CEB94BB" w14:textId="53E34774"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To facilitate the comparison of the PMF output of the month of May, which is affected by a strongly seasonal source (crop residue burning), with emission inventories that provid</w:t>
      </w:r>
      <w:r w:rsidR="00F16CA0">
        <w:rPr>
          <w:rFonts w:ascii="Times New Roman" w:hAnsi="Times New Roman" w:cs="Times New Roman"/>
          <w:sz w:val="24"/>
          <w:szCs w:val="24"/>
        </w:rPr>
        <w:t>e only annual data as of now, I</w:t>
      </w:r>
      <w:r w:rsidRPr="004B00C3">
        <w:rPr>
          <w:rFonts w:ascii="Times New Roman" w:hAnsi="Times New Roman" w:cs="Times New Roman"/>
          <w:sz w:val="24"/>
          <w:szCs w:val="24"/>
        </w:rPr>
        <w:t xml:space="preserve"> calculate hypothetical pie charts which attribute annual crop residue burning emissions over the region only to the 2.5 months when crop residue burning actually occurs (middle of October to end of November and May).</w:t>
      </w:r>
    </w:p>
    <w:p w14:paraId="0BFFF7E3" w14:textId="20D09010" w:rsidR="000F6A5E" w:rsidRPr="004B00C3" w:rsidRDefault="00645C48" w:rsidP="004B00C3">
      <w:pPr>
        <w:pStyle w:val="Heading2"/>
        <w:spacing w:line="360" w:lineRule="auto"/>
        <w:jc w:val="both"/>
        <w:rPr>
          <w:rFonts w:ascii="Times New Roman" w:hAnsi="Times New Roman" w:cs="Times New Roman"/>
          <w:b/>
          <w:bCs/>
          <w:color w:val="auto"/>
          <w:sz w:val="24"/>
          <w:szCs w:val="24"/>
        </w:rPr>
      </w:pPr>
      <w:r w:rsidRPr="004B00C3">
        <w:rPr>
          <w:rFonts w:ascii="Times New Roman" w:hAnsi="Times New Roman" w:cs="Times New Roman"/>
          <w:b/>
          <w:bCs/>
          <w:color w:val="auto"/>
          <w:sz w:val="24"/>
          <w:szCs w:val="24"/>
        </w:rPr>
        <w:t xml:space="preserve"> </w:t>
      </w:r>
      <w:bookmarkStart w:id="43" w:name="_Toc146809850"/>
      <w:r w:rsidR="000F6A5E" w:rsidRPr="004B00C3">
        <w:rPr>
          <w:rFonts w:ascii="Times New Roman" w:hAnsi="Times New Roman" w:cs="Times New Roman"/>
          <w:b/>
          <w:bCs/>
          <w:color w:val="auto"/>
          <w:sz w:val="24"/>
          <w:szCs w:val="24"/>
        </w:rPr>
        <w:t>Results and discussion</w:t>
      </w:r>
      <w:bookmarkEnd w:id="43"/>
    </w:p>
    <w:p w14:paraId="34B82BE7" w14:textId="472F9788" w:rsidR="00926549" w:rsidRPr="004B00C3" w:rsidRDefault="00926549" w:rsidP="004B00C3">
      <w:pPr>
        <w:pStyle w:val="Heading3"/>
        <w:spacing w:line="360" w:lineRule="auto"/>
        <w:jc w:val="both"/>
        <w:rPr>
          <w:rFonts w:ascii="Times New Roman" w:hAnsi="Times New Roman" w:cs="Times New Roman"/>
          <w:b/>
          <w:bCs/>
          <w:color w:val="auto"/>
        </w:rPr>
      </w:pPr>
      <w:bookmarkStart w:id="44" w:name="_Toc146809851"/>
      <w:r w:rsidRPr="004B00C3">
        <w:rPr>
          <w:rFonts w:ascii="Times New Roman" w:hAnsi="Times New Roman" w:cs="Times New Roman"/>
          <w:b/>
          <w:bCs/>
          <w:color w:val="auto"/>
        </w:rPr>
        <w:t>Split up of VOC emission sources in Mohali and their contribution to ozone and SOA formation potential</w:t>
      </w:r>
      <w:bookmarkEnd w:id="44"/>
    </w:p>
    <w:p w14:paraId="6B16A335" w14:textId="722401B1" w:rsidR="00645C48" w:rsidRPr="004B00C3" w:rsidRDefault="00AF42AA"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790CC945" wp14:editId="7FBF5190">
            <wp:extent cx="5365750" cy="1375410"/>
            <wp:effectExtent l="0" t="0" r="6350" b="0"/>
            <wp:docPr id="11"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8.jpeg"/>
                    <pic:cNvPicPr/>
                  </pic:nvPicPr>
                  <pic:blipFill>
                    <a:blip r:embed="rId22" cstate="print"/>
                    <a:stretch>
                      <a:fillRect/>
                    </a:stretch>
                  </pic:blipFill>
                  <pic:spPr>
                    <a:xfrm>
                      <a:off x="0" y="0"/>
                      <a:ext cx="5367236" cy="1375791"/>
                    </a:xfrm>
                    <a:prstGeom prst="rect">
                      <a:avLst/>
                    </a:prstGeom>
                  </pic:spPr>
                </pic:pic>
              </a:graphicData>
            </a:graphic>
          </wp:inline>
        </w:drawing>
      </w:r>
    </w:p>
    <w:p w14:paraId="70C8D9DC" w14:textId="1096A7BD" w:rsidR="00645C48" w:rsidRPr="004B00C3" w:rsidRDefault="003E0353" w:rsidP="00520B72">
      <w:pPr>
        <w:pStyle w:val="Caption"/>
        <w:spacing w:line="360" w:lineRule="auto"/>
        <w:jc w:val="both"/>
        <w:rPr>
          <w:rFonts w:ascii="Times New Roman" w:hAnsi="Times New Roman" w:cs="Times New Roman"/>
          <w:color w:val="auto"/>
          <w:sz w:val="24"/>
          <w:szCs w:val="24"/>
        </w:rPr>
      </w:pPr>
      <w:bookmarkStart w:id="45" w:name="_Toc133577927"/>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8</w:t>
      </w:r>
      <w:r w:rsidRPr="004B00C3">
        <w:rPr>
          <w:rFonts w:ascii="Times New Roman" w:hAnsi="Times New Roman" w:cs="Times New Roman"/>
          <w:color w:val="auto"/>
          <w:sz w:val="24"/>
          <w:szCs w:val="24"/>
        </w:rPr>
        <w:fldChar w:fldCharType="end"/>
      </w:r>
      <w:r w:rsidR="00645C48" w:rsidRPr="004B00C3">
        <w:rPr>
          <w:rFonts w:ascii="Times New Roman" w:hAnsi="Times New Roman" w:cs="Times New Roman"/>
          <w:color w:val="auto"/>
          <w:sz w:val="24"/>
          <w:szCs w:val="24"/>
        </w:rPr>
        <w:t xml:space="preserve"> (a) Source contribution to the ambient VOC loading at the receptor site. (b) Ozone formation potential for PMF-derived sources.</w:t>
      </w:r>
      <w:r w:rsidR="00F66D6F" w:rsidRPr="004B00C3">
        <w:rPr>
          <w:rFonts w:ascii="Times New Roman" w:hAnsi="Times New Roman" w:cs="Times New Roman"/>
          <w:color w:val="auto"/>
          <w:sz w:val="24"/>
          <w:szCs w:val="24"/>
        </w:rPr>
        <w:t xml:space="preserve"> </w:t>
      </w:r>
      <w:r w:rsidR="00645C48" w:rsidRPr="004B00C3">
        <w:rPr>
          <w:rFonts w:ascii="Times New Roman" w:hAnsi="Times New Roman" w:cs="Times New Roman"/>
          <w:color w:val="auto"/>
          <w:sz w:val="24"/>
          <w:szCs w:val="24"/>
        </w:rPr>
        <w:t>(c) SOA potential for PMF factors.</w:t>
      </w:r>
      <w:bookmarkEnd w:id="45"/>
    </w:p>
    <w:p w14:paraId="184BBDDE" w14:textId="59774CD2" w:rsidR="00937E3A"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Figure </w:t>
      </w:r>
      <w:r w:rsidR="00251750" w:rsidRPr="004B00C3">
        <w:rPr>
          <w:rFonts w:ascii="Times New Roman" w:hAnsi="Times New Roman" w:cs="Times New Roman"/>
          <w:sz w:val="24"/>
          <w:szCs w:val="24"/>
        </w:rPr>
        <w:t>3.</w:t>
      </w:r>
      <w:r w:rsidR="0038144E" w:rsidRPr="004B00C3">
        <w:rPr>
          <w:rFonts w:ascii="Times New Roman" w:hAnsi="Times New Roman" w:cs="Times New Roman"/>
          <w:sz w:val="24"/>
          <w:szCs w:val="24"/>
        </w:rPr>
        <w:t>8</w:t>
      </w:r>
      <w:r w:rsidR="00E84847" w:rsidRPr="004B00C3">
        <w:rPr>
          <w:rFonts w:ascii="Times New Roman" w:hAnsi="Times New Roman" w:cs="Times New Roman"/>
          <w:sz w:val="24"/>
          <w:szCs w:val="24"/>
        </w:rPr>
        <w:t xml:space="preserve">. </w:t>
      </w:r>
      <w:r w:rsidRPr="004B00C3">
        <w:rPr>
          <w:rFonts w:ascii="Times New Roman" w:hAnsi="Times New Roman" w:cs="Times New Roman"/>
          <w:sz w:val="24"/>
          <w:szCs w:val="24"/>
        </w:rPr>
        <w:t>a shows the percent contribution of the different sectors to ambient VOC mass concentration loadings during May 2012 in Mohali, while Fig</w:t>
      </w:r>
      <w:r w:rsidR="00937E3A" w:rsidRPr="004B00C3">
        <w:rPr>
          <w:rFonts w:ascii="Times New Roman" w:hAnsi="Times New Roman" w:cs="Times New Roman"/>
          <w:sz w:val="24"/>
          <w:szCs w:val="24"/>
        </w:rPr>
        <w:t>ure</w:t>
      </w:r>
      <w:r w:rsidRPr="004B00C3">
        <w:rPr>
          <w:rFonts w:ascii="Times New Roman" w:hAnsi="Times New Roman" w:cs="Times New Roman"/>
          <w:sz w:val="24"/>
          <w:szCs w:val="24"/>
        </w:rPr>
        <w:t xml:space="preserve"> </w:t>
      </w:r>
      <w:r w:rsidR="00937E3A" w:rsidRPr="004B00C3">
        <w:rPr>
          <w:rFonts w:ascii="Times New Roman" w:hAnsi="Times New Roman" w:cs="Times New Roman"/>
          <w:sz w:val="24"/>
          <w:szCs w:val="24"/>
        </w:rPr>
        <w:t>3.</w:t>
      </w:r>
      <w:r w:rsidR="00DA05F2" w:rsidRPr="004B00C3">
        <w:rPr>
          <w:rFonts w:ascii="Times New Roman" w:hAnsi="Times New Roman" w:cs="Times New Roman"/>
          <w:sz w:val="24"/>
          <w:szCs w:val="24"/>
        </w:rPr>
        <w:t>9</w:t>
      </w:r>
      <w:r w:rsidRPr="004B00C3">
        <w:rPr>
          <w:rFonts w:ascii="Times New Roman" w:hAnsi="Times New Roman" w:cs="Times New Roman"/>
          <w:sz w:val="24"/>
          <w:szCs w:val="24"/>
        </w:rPr>
        <w:t xml:space="preserve"> shows a time series of the total VOC mass contributed by the individual factors to the overall mass. </w:t>
      </w:r>
    </w:p>
    <w:p w14:paraId="68058E12" w14:textId="0161802C" w:rsidR="00937E3A" w:rsidRPr="004B00C3" w:rsidRDefault="005B30E0"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0734C972" wp14:editId="4A2DA122">
            <wp:extent cx="5353050" cy="2774382"/>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60762" cy="2778379"/>
                    </a:xfrm>
                    <a:prstGeom prst="rect">
                      <a:avLst/>
                    </a:prstGeom>
                    <a:noFill/>
                    <a:ln>
                      <a:noFill/>
                    </a:ln>
                  </pic:spPr>
                </pic:pic>
              </a:graphicData>
            </a:graphic>
          </wp:inline>
        </w:drawing>
      </w:r>
    </w:p>
    <w:p w14:paraId="61D2918F" w14:textId="3932105A" w:rsidR="00937E3A" w:rsidRPr="004B00C3" w:rsidRDefault="003E0353" w:rsidP="00520B72">
      <w:pPr>
        <w:pStyle w:val="Caption"/>
        <w:spacing w:line="360" w:lineRule="auto"/>
        <w:jc w:val="both"/>
        <w:rPr>
          <w:rFonts w:ascii="Times New Roman" w:hAnsi="Times New Roman" w:cs="Times New Roman"/>
          <w:color w:val="auto"/>
          <w:sz w:val="24"/>
          <w:szCs w:val="24"/>
        </w:rPr>
      </w:pPr>
      <w:bookmarkStart w:id="46" w:name="_Toc133577928"/>
      <w:r w:rsidRPr="004B00C3">
        <w:rPr>
          <w:rFonts w:ascii="Times New Roman" w:hAnsi="Times New Roman" w:cs="Times New Roman"/>
          <w:color w:val="auto"/>
          <w:sz w:val="24"/>
          <w:szCs w:val="24"/>
        </w:rPr>
        <w:lastRenderedPageBreak/>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9</w:t>
      </w:r>
      <w:r w:rsidRPr="004B00C3">
        <w:rPr>
          <w:rFonts w:ascii="Times New Roman" w:hAnsi="Times New Roman" w:cs="Times New Roman"/>
          <w:color w:val="auto"/>
          <w:sz w:val="24"/>
          <w:szCs w:val="24"/>
        </w:rPr>
        <w:fldChar w:fldCharType="end"/>
      </w:r>
      <w:r w:rsidR="00937E3A" w:rsidRPr="004B00C3">
        <w:rPr>
          <w:rFonts w:ascii="Times New Roman" w:hAnsi="Times New Roman" w:cs="Times New Roman"/>
          <w:bCs/>
          <w:color w:val="auto"/>
          <w:sz w:val="24"/>
          <w:szCs w:val="24"/>
        </w:rPr>
        <w:t xml:space="preserve"> Time series of the total mass contributed by the different sources to the overall VOC mass</w:t>
      </w:r>
      <w:bookmarkEnd w:id="46"/>
    </w:p>
    <w:p w14:paraId="40501507" w14:textId="52073307"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two traffic factors combined together were found to be the strongest contributors to the total VOC mass concentration (25.1 %) followed by biofuel use and waste disposal factor (23.2 %), wheat-residue burning (22.4 %), the mixed daytime factor (15.7 %) and industrial emissions (11.8 %), with the residual unapportioned VOC mass only amounting to 1.7 % of the total. Early source receptor modeling studies from India attributed a slightly larger share (26 %–58 %) of the total VOC mass to traffic-related emissions (Srivastava, 2004; Srivastava et al., 2005), suggesting that the progression to the emission norms Bharat stage III and IV (which are equivalent to Euro 3 and Euro</w:t>
      </w:r>
      <w:r w:rsidR="005F50E5" w:rsidRPr="004B00C3">
        <w:rPr>
          <w:rFonts w:ascii="Times New Roman" w:hAnsi="Times New Roman" w:cs="Times New Roman"/>
          <w:sz w:val="24"/>
          <w:szCs w:val="24"/>
        </w:rPr>
        <w:t xml:space="preserve"> </w:t>
      </w:r>
      <w:r w:rsidRPr="004B00C3">
        <w:rPr>
          <w:rFonts w:ascii="Times New Roman" w:hAnsi="Times New Roman" w:cs="Times New Roman"/>
          <w:sz w:val="24"/>
          <w:szCs w:val="24"/>
        </w:rPr>
        <w:t>4 norms, http://cpcb.nic.in/vehicular-exhaust/, last access: 28 April 2019) may have brought down VOC emissions from the traffic sector.</w:t>
      </w:r>
    </w:p>
    <w:p w14:paraId="5B4390D2" w14:textId="0341B601"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Figure </w:t>
      </w:r>
      <w:r w:rsidR="00E84847" w:rsidRPr="004B00C3">
        <w:rPr>
          <w:rFonts w:ascii="Times New Roman" w:hAnsi="Times New Roman" w:cs="Times New Roman"/>
          <w:sz w:val="24"/>
          <w:szCs w:val="24"/>
        </w:rPr>
        <w:t>3.</w:t>
      </w:r>
      <w:r w:rsidR="00E70226" w:rsidRPr="004B00C3">
        <w:rPr>
          <w:rFonts w:ascii="Times New Roman" w:hAnsi="Times New Roman" w:cs="Times New Roman"/>
          <w:sz w:val="24"/>
          <w:szCs w:val="24"/>
        </w:rPr>
        <w:t>8</w:t>
      </w:r>
      <w:r w:rsidRPr="004B00C3">
        <w:rPr>
          <w:rFonts w:ascii="Times New Roman" w:hAnsi="Times New Roman" w:cs="Times New Roman"/>
          <w:sz w:val="24"/>
          <w:szCs w:val="24"/>
        </w:rPr>
        <w:t>b shows the contribution of the different sectors to the ozone formation potential during May 2012 in Mohali. The wheat-residue burning factor was found to be the largest contributor to the ozone formation potential (32.4 %) and has been shown to enhance ambient tropospheric ozone mixing ratios by 19 ppb (Kumar et al., 2016). Both traffic sources combined, the mixed daytime sources, biofuel use and waste disposal, and industrial emissions and solvent use contributed 21.9 %, 20.3 %, 18.1 % and 7.3 %, respectively, to the ozone formation potential. It is clear that in order to bring ozone levels into compliance with the NAAQS, the wheat-residue burning source of ozone precursors deserves the most attention at this point, but the transport sector and biofuel use and waste disposal should not be neglected either.</w:t>
      </w:r>
    </w:p>
    <w:p w14:paraId="5E584433" w14:textId="330C6465"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Figure </w:t>
      </w:r>
      <w:r w:rsidR="007E0920" w:rsidRPr="004B00C3">
        <w:rPr>
          <w:rFonts w:ascii="Times New Roman" w:hAnsi="Times New Roman" w:cs="Times New Roman"/>
          <w:sz w:val="24"/>
          <w:szCs w:val="24"/>
        </w:rPr>
        <w:t>3.</w:t>
      </w:r>
      <w:r w:rsidR="00E70226" w:rsidRPr="004B00C3">
        <w:rPr>
          <w:rFonts w:ascii="Times New Roman" w:hAnsi="Times New Roman" w:cs="Times New Roman"/>
          <w:sz w:val="24"/>
          <w:szCs w:val="24"/>
        </w:rPr>
        <w:t>8</w:t>
      </w:r>
      <w:r w:rsidRPr="004B00C3">
        <w:rPr>
          <w:rFonts w:ascii="Times New Roman" w:hAnsi="Times New Roman" w:cs="Times New Roman"/>
          <w:sz w:val="24"/>
          <w:szCs w:val="24"/>
        </w:rPr>
        <w:t>c shows the contribution of the different sectors to the SOA formation potential (</w:t>
      </w:r>
      <w:r w:rsidRPr="004B00C3">
        <w:rPr>
          <w:rFonts w:ascii="Cambria Math" w:hAnsi="Cambria Math" w:cs="Cambria Math"/>
          <w:sz w:val="24"/>
          <w:szCs w:val="24"/>
        </w:rPr>
        <w:t>∼</w:t>
      </w:r>
      <w:r w:rsidRPr="004B00C3">
        <w:rPr>
          <w:rFonts w:ascii="Times New Roman" w:hAnsi="Times New Roman" w:cs="Times New Roman"/>
          <w:sz w:val="24"/>
          <w:szCs w:val="24"/>
        </w:rPr>
        <w:t xml:space="preserve"> 32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under low-NO</w:t>
      </w:r>
      <w:r w:rsidRPr="004B00C3">
        <w:rPr>
          <w:rFonts w:ascii="Times New Roman" w:hAnsi="Times New Roman" w:cs="Times New Roman"/>
          <w:i/>
          <w:iCs/>
          <w:sz w:val="24"/>
          <w:szCs w:val="24"/>
          <w:vertAlign w:val="subscript"/>
        </w:rPr>
        <w:t>x</w:t>
      </w:r>
      <w:r w:rsidR="00FB3907" w:rsidRPr="004B00C3">
        <w:rPr>
          <w:rFonts w:ascii="Times New Roman" w:hAnsi="Times New Roman" w:cs="Times New Roman"/>
          <w:sz w:val="24"/>
          <w:szCs w:val="24"/>
        </w:rPr>
        <w:t xml:space="preserve"> </w:t>
      </w:r>
      <w:r w:rsidRPr="004B00C3">
        <w:rPr>
          <w:rFonts w:ascii="Times New Roman" w:hAnsi="Times New Roman" w:cs="Times New Roman"/>
          <w:sz w:val="24"/>
          <w:szCs w:val="24"/>
        </w:rPr>
        <w:t>conditions. Traffic is the single largest contributor and is responsible for contributing 59.0 % of the SOA formation potential followed by biofuel use and waste disposal (14.9 %), wheat-residue burning (13.9 %), industrial emissions and sol- vent use (10.1 %), and the mixed daytime factor (2.2 %). While the calculated SOA formation potential, particularly from transport sector emissions (Ensberg et al., 2014) and aromatic compounds (Li et al., 2017; Li and Cocker III, 2018), is affected by large uncertainties and may depend in a non-linear fashion on NO</w:t>
      </w:r>
      <w:r w:rsidRPr="004B00C3">
        <w:rPr>
          <w:rFonts w:ascii="Times New Roman" w:hAnsi="Times New Roman" w:cs="Times New Roman"/>
          <w:i/>
          <w:iCs/>
          <w:sz w:val="24"/>
          <w:szCs w:val="24"/>
          <w:vertAlign w:val="subscript"/>
        </w:rPr>
        <w:t>x</w:t>
      </w:r>
      <w:r w:rsidRPr="004B00C3">
        <w:rPr>
          <w:rFonts w:ascii="Times New Roman" w:hAnsi="Times New Roman" w:cs="Times New Roman"/>
          <w:sz w:val="24"/>
          <w:szCs w:val="24"/>
        </w:rPr>
        <w:t xml:space="preserve"> and VOC concentrations (Xu et al., 2015) our calculated SOA formation potential seem to indicate </w:t>
      </w:r>
      <w:r w:rsidRPr="004B00C3">
        <w:rPr>
          <w:rFonts w:ascii="Times New Roman" w:hAnsi="Times New Roman" w:cs="Times New Roman"/>
          <w:sz w:val="24"/>
          <w:szCs w:val="24"/>
        </w:rPr>
        <w:lastRenderedPageBreak/>
        <w:t>that SOA formation could contribute significantly to the average PM</w:t>
      </w:r>
      <w:r w:rsidRPr="004B00C3">
        <w:rPr>
          <w:rFonts w:ascii="Times New Roman" w:hAnsi="Times New Roman" w:cs="Times New Roman"/>
          <w:sz w:val="24"/>
          <w:szCs w:val="24"/>
          <w:vertAlign w:val="subscript"/>
        </w:rPr>
        <w:t>2.5</w:t>
      </w:r>
      <w:r w:rsidR="00FB3907" w:rsidRPr="004B00C3">
        <w:rPr>
          <w:rFonts w:ascii="Times New Roman" w:hAnsi="Times New Roman" w:cs="Times New Roman"/>
          <w:sz w:val="24"/>
          <w:szCs w:val="24"/>
          <w:vertAlign w:val="subscript"/>
        </w:rPr>
        <w:t xml:space="preserve"> </w:t>
      </w:r>
      <w:r w:rsidRPr="004B00C3">
        <w:rPr>
          <w:rFonts w:ascii="Times New Roman" w:hAnsi="Times New Roman" w:cs="Times New Roman"/>
          <w:sz w:val="24"/>
          <w:szCs w:val="24"/>
        </w:rPr>
        <w:t>mass loading (104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w:t>
      </w:r>
    </w:p>
    <w:p w14:paraId="7B3D30F0" w14:textId="5AC1D4E6" w:rsidR="00645C48" w:rsidRPr="004B00C3" w:rsidRDefault="00645C48" w:rsidP="004B00C3">
      <w:pPr>
        <w:pStyle w:val="Heading3"/>
        <w:spacing w:line="360" w:lineRule="auto"/>
        <w:jc w:val="both"/>
        <w:rPr>
          <w:rFonts w:ascii="Times New Roman" w:hAnsi="Times New Roman" w:cs="Times New Roman"/>
          <w:b/>
          <w:bCs/>
          <w:color w:val="auto"/>
        </w:rPr>
      </w:pPr>
      <w:bookmarkStart w:id="47" w:name="_Toc146809852"/>
      <w:r w:rsidRPr="004B00C3">
        <w:rPr>
          <w:rFonts w:ascii="Times New Roman" w:hAnsi="Times New Roman" w:cs="Times New Roman"/>
          <w:b/>
          <w:bCs/>
          <w:color w:val="auto"/>
        </w:rPr>
        <w:t>Factor 1 – biofuel use and waste disposal</w:t>
      </w:r>
      <w:bookmarkEnd w:id="47"/>
    </w:p>
    <w:p w14:paraId="01F8A2D6" w14:textId="47EBF241"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The biofuel use and waste disposal factor combines two sources with similar source profiles and high spatiotemporal overlap into one factor. As discussed previously for other South Asian atmospheric environments (Sarkar et al., 2017), the source contributions of domestic biofuel use and domestic waste burning are difficult to segregate. Figure </w:t>
      </w:r>
      <w:r w:rsidR="00E1714B" w:rsidRPr="004B00C3">
        <w:rPr>
          <w:rFonts w:ascii="Times New Roman" w:hAnsi="Times New Roman" w:cs="Times New Roman"/>
          <w:sz w:val="24"/>
          <w:szCs w:val="24"/>
        </w:rPr>
        <w:t>3.</w:t>
      </w:r>
      <w:r w:rsidR="005F54C9" w:rsidRPr="004B00C3">
        <w:rPr>
          <w:rFonts w:ascii="Times New Roman" w:hAnsi="Times New Roman" w:cs="Times New Roman"/>
          <w:sz w:val="24"/>
          <w:szCs w:val="24"/>
        </w:rPr>
        <w:t>10</w:t>
      </w:r>
      <w:r w:rsidR="00E1714B" w:rsidRPr="004B00C3">
        <w:rPr>
          <w:rFonts w:ascii="Times New Roman" w:hAnsi="Times New Roman" w:cs="Times New Roman"/>
          <w:sz w:val="24"/>
          <w:szCs w:val="24"/>
        </w:rPr>
        <w:t>.</w:t>
      </w:r>
      <w:r w:rsidRPr="004B00C3">
        <w:rPr>
          <w:rFonts w:ascii="Times New Roman" w:hAnsi="Times New Roman" w:cs="Times New Roman"/>
          <w:sz w:val="24"/>
          <w:szCs w:val="24"/>
        </w:rPr>
        <w:t xml:space="preserve"> shows a weak bimodal behavior with an early morning and late evening peak for this factor, as both domestic biofuel use and waste disposal fires peak in the early morning and in the evening hours (Nagpure et al., 2015). The highest conditional probability for this factor is from the north (&gt; 0.4), the direction of the Dadu Majra landfill in Chandigarh, followed by the wind direction NW where a large village (Mauli Baidwan) can be found within 1 km of the receptor, and NE, the direction of Panchkula’s garbage dump in Sector 23. This and the fact that the average contribution of this factor remains above 56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throughout the night indicates that garbage burning contributes significantly to the biofuel use and waste disposal factor.</w:t>
      </w:r>
    </w:p>
    <w:p w14:paraId="2808F727" w14:textId="5585AC40" w:rsidR="00E1714B" w:rsidRPr="004B00C3" w:rsidRDefault="00E1714B"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0BA06ECF" wp14:editId="5808C3EF">
            <wp:extent cx="5337781" cy="3486150"/>
            <wp:effectExtent l="0" t="0" r="0" b="0"/>
            <wp:docPr id="13"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9.jpeg"/>
                    <pic:cNvPicPr/>
                  </pic:nvPicPr>
                  <pic:blipFill>
                    <a:blip r:embed="rId24" cstate="print"/>
                    <a:stretch>
                      <a:fillRect/>
                    </a:stretch>
                  </pic:blipFill>
                  <pic:spPr>
                    <a:xfrm>
                      <a:off x="0" y="0"/>
                      <a:ext cx="5345985" cy="3491508"/>
                    </a:xfrm>
                    <a:prstGeom prst="rect">
                      <a:avLst/>
                    </a:prstGeom>
                  </pic:spPr>
                </pic:pic>
              </a:graphicData>
            </a:graphic>
          </wp:inline>
        </w:drawing>
      </w:r>
    </w:p>
    <w:p w14:paraId="6B64B05B" w14:textId="3560A57B" w:rsidR="00645C48" w:rsidRPr="004B00C3" w:rsidRDefault="003E0353" w:rsidP="00520B72">
      <w:pPr>
        <w:pStyle w:val="Caption"/>
        <w:spacing w:line="360" w:lineRule="auto"/>
        <w:jc w:val="both"/>
        <w:rPr>
          <w:rFonts w:ascii="Times New Roman" w:hAnsi="Times New Roman" w:cs="Times New Roman"/>
          <w:color w:val="auto"/>
          <w:sz w:val="24"/>
          <w:szCs w:val="24"/>
        </w:rPr>
      </w:pPr>
      <w:bookmarkStart w:id="48" w:name="_Toc133577929"/>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10</w:t>
      </w:r>
      <w:r w:rsidRPr="004B00C3">
        <w:rPr>
          <w:rFonts w:ascii="Times New Roman" w:hAnsi="Times New Roman" w:cs="Times New Roman"/>
          <w:color w:val="auto"/>
          <w:sz w:val="24"/>
          <w:szCs w:val="24"/>
        </w:rPr>
        <w:fldChar w:fldCharType="end"/>
      </w:r>
      <w:r w:rsidR="00E1714B" w:rsidRPr="004B00C3">
        <w:rPr>
          <w:rFonts w:ascii="Times New Roman" w:hAnsi="Times New Roman" w:cs="Times New Roman"/>
          <w:color w:val="auto"/>
          <w:sz w:val="24"/>
          <w:szCs w:val="24"/>
        </w:rPr>
        <w:t xml:space="preserve"> Factor contribution time series, factor diel variability and CPF plot for PMF factor 1 (biofuel use and waste disposal), PMF factor 2 (wheat-residue burning) and PMF factor 3 (industrial emissions and solvent use) for May 2012. The time series </w:t>
      </w:r>
      <w:r w:rsidR="00E1714B" w:rsidRPr="004B00C3">
        <w:rPr>
          <w:rFonts w:ascii="Times New Roman" w:hAnsi="Times New Roman" w:cs="Times New Roman"/>
          <w:color w:val="auto"/>
          <w:sz w:val="24"/>
          <w:szCs w:val="24"/>
        </w:rPr>
        <w:lastRenderedPageBreak/>
        <w:t>of PMF factor’s hourly mass (in µg m</w:t>
      </w:r>
      <w:r w:rsidR="00E1714B" w:rsidRPr="004B00C3">
        <w:rPr>
          <w:rFonts w:ascii="Times New Roman" w:hAnsi="Times New Roman" w:cs="Times New Roman"/>
          <w:color w:val="auto"/>
          <w:sz w:val="24"/>
          <w:szCs w:val="24"/>
          <w:vertAlign w:val="superscript"/>
        </w:rPr>
        <w:t>−3</w:t>
      </w:r>
      <w:r w:rsidR="00E1714B" w:rsidRPr="004B00C3">
        <w:rPr>
          <w:rFonts w:ascii="Times New Roman" w:hAnsi="Times New Roman" w:cs="Times New Roman"/>
          <w:color w:val="auto"/>
          <w:sz w:val="24"/>
          <w:szCs w:val="24"/>
        </w:rPr>
        <w:t>) is plotted against independent tracer species CO (in ppbv) for the biofuel use and waste disposal factor, daily fire counts for the wheat-residue burning factor and SO2 (in ppbv) for the industrial emission and solvent use factor. The diel box-and-whisker plot shows the statistical parameters of factor’s hourly mass contribution (in µg m</w:t>
      </w:r>
      <w:r w:rsidR="00E1714B" w:rsidRPr="004B00C3">
        <w:rPr>
          <w:rFonts w:ascii="Times New Roman" w:hAnsi="Times New Roman" w:cs="Times New Roman"/>
          <w:color w:val="auto"/>
          <w:sz w:val="24"/>
          <w:szCs w:val="24"/>
          <w:vertAlign w:val="superscript"/>
        </w:rPr>
        <w:t>−3</w:t>
      </w:r>
      <w:r w:rsidR="00E1714B" w:rsidRPr="004B00C3">
        <w:rPr>
          <w:rFonts w:ascii="Times New Roman" w:hAnsi="Times New Roman" w:cs="Times New Roman"/>
          <w:color w:val="auto"/>
          <w:sz w:val="24"/>
          <w:szCs w:val="24"/>
        </w:rPr>
        <w:t>) for every hour of the day plotted against the start time of the hour. The width of the box gives 25th and 75th percentiles, 50th percentile partitions the box; whiskers represent 10th and 90th percentiles of</w:t>
      </w:r>
      <w:r w:rsidR="00E1282A">
        <w:rPr>
          <w:rFonts w:ascii="Times New Roman" w:hAnsi="Times New Roman" w:cs="Times New Roman"/>
          <w:color w:val="auto"/>
          <w:sz w:val="24"/>
          <w:szCs w:val="24"/>
        </w:rPr>
        <w:t xml:space="preserve"> </w:t>
      </w:r>
      <w:r w:rsidR="00E1714B" w:rsidRPr="004B00C3">
        <w:rPr>
          <w:rFonts w:ascii="Times New Roman" w:hAnsi="Times New Roman" w:cs="Times New Roman"/>
          <w:color w:val="auto"/>
          <w:sz w:val="24"/>
          <w:szCs w:val="24"/>
        </w:rPr>
        <w:t>the dataset and average values are given by solid circles.</w:t>
      </w:r>
      <w:bookmarkEnd w:id="48"/>
    </w:p>
    <w:p w14:paraId="24CAF3EA" w14:textId="467660DF" w:rsidR="008656EA" w:rsidRPr="004B00C3" w:rsidRDefault="008656EA"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Figures 3.</w:t>
      </w:r>
      <w:r w:rsidR="00114289" w:rsidRPr="004B00C3">
        <w:rPr>
          <w:rFonts w:ascii="Times New Roman" w:hAnsi="Times New Roman" w:cs="Times New Roman"/>
          <w:sz w:val="24"/>
          <w:szCs w:val="24"/>
        </w:rPr>
        <w:t>5</w:t>
      </w:r>
      <w:r w:rsidRPr="004B00C3">
        <w:rPr>
          <w:rFonts w:ascii="Times New Roman" w:hAnsi="Times New Roman" w:cs="Times New Roman"/>
          <w:sz w:val="24"/>
          <w:szCs w:val="24"/>
        </w:rPr>
        <w:t>. and 3.</w:t>
      </w:r>
      <w:r w:rsidR="00114289" w:rsidRPr="004B00C3">
        <w:rPr>
          <w:rFonts w:ascii="Times New Roman" w:hAnsi="Times New Roman" w:cs="Times New Roman"/>
          <w:sz w:val="24"/>
          <w:szCs w:val="24"/>
        </w:rPr>
        <w:t>11</w:t>
      </w:r>
      <w:r w:rsidRPr="004B00C3">
        <w:rPr>
          <w:rFonts w:ascii="Times New Roman" w:hAnsi="Times New Roman" w:cs="Times New Roman"/>
          <w:sz w:val="24"/>
          <w:szCs w:val="24"/>
        </w:rPr>
        <w:t>. show that this factor explains a significant share of the mass of acetonitrile (a biomass burning tracer), aldehydes, ketones, acids, propyne and propene in the PMF model. For propene (60 %), aldehydes (85 %) and ketones (68 %) the residential sector is the dominant source in the most recent speciated emission inventory EDGARv4.3.2.</w:t>
      </w:r>
    </w:p>
    <w:p w14:paraId="18FC12AE" w14:textId="601FD2BC" w:rsidR="008656EA" w:rsidRPr="004B00C3" w:rsidRDefault="008656EA"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percentage share for aldehydes and ketones in the inventory is higher than its share in the PMF because the agricultural residue burning source of these compounds is currently missing in the inventory. For acids, however, the residential fuel usage source in the inventory (0.5 %) is dwarfed by solvent-use-associated emissions (96 %), while in the PMF the two biomass burning sources (residential biofuel use and waste disposal and wheat-residue burning) account for almost 69 % of the total acids in the model. High emission of oxygenated VOCs have been reported previously for source profiles of biofuel stoves (Wang et al., 2009; Paulot et al., 2011; Stockwell et al., 2016), open waste burning (Sharma et al., 2019), and PMF factors’ results on the residential biofuel use and waste disposal factor in Kathmandu, Nepal (Sarkar et al., 2017).</w:t>
      </w:r>
    </w:p>
    <w:p w14:paraId="57D86C98" w14:textId="1B60BDF1" w:rsidR="008656EA" w:rsidRDefault="008656EA"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It should be noted that this factor is responsible for approximately 25 % of the total benzene emissions in our PMF model, while emission inventories attribute a larger share (39 %–74 %) of this compound to this source. Since benzene is an identified Group-1 carcinogen (IARC, 1987) and emissions occur within the household itself (domestic cooking) or within close proximity of the house (waste disposal) this factor deserves special attention in programs targeted at emission reductions. However, the impact of such emission reductions in the residential and waste management sector on human benzene exposure is likely to be overestimated by modeling studies using present-day emission inventories, as the inventories attribute 39 %–74 % of the benzene emissions to </w:t>
      </w:r>
      <w:r w:rsidRPr="004B00C3">
        <w:rPr>
          <w:rFonts w:ascii="Times New Roman" w:hAnsi="Times New Roman" w:cs="Times New Roman"/>
          <w:sz w:val="24"/>
          <w:szCs w:val="24"/>
        </w:rPr>
        <w:lastRenderedPageBreak/>
        <w:t>residential fuel usage and waste disposal, while the PMF suggests the transport sector is the largest benzene source (Fig. 3.1</w:t>
      </w:r>
      <w:r w:rsidR="00114289" w:rsidRPr="004B00C3">
        <w:rPr>
          <w:rFonts w:ascii="Times New Roman" w:hAnsi="Times New Roman" w:cs="Times New Roman"/>
          <w:sz w:val="24"/>
          <w:szCs w:val="24"/>
        </w:rPr>
        <w:t>2</w:t>
      </w:r>
      <w:r w:rsidRPr="004B00C3">
        <w:rPr>
          <w:rFonts w:ascii="Times New Roman" w:hAnsi="Times New Roman" w:cs="Times New Roman"/>
          <w:sz w:val="24"/>
          <w:szCs w:val="24"/>
        </w:rPr>
        <w:t>.). Direct emission of isocyanic acid, a highly toxic emerging contaminant, and its photochemical precursors (Alkyl amines and Amides) was observed from this source and explained 18 % of the isocyanic acid mass concentration and 7 %–15 % of all the alkyl amines and amides in the PMF model, respectively.</w:t>
      </w:r>
    </w:p>
    <w:p w14:paraId="61A4197B" w14:textId="77777777" w:rsidR="00B35617" w:rsidRPr="004B00C3" w:rsidRDefault="00B35617" w:rsidP="00B35617">
      <w:pPr>
        <w:pStyle w:val="Heading3"/>
        <w:spacing w:line="360" w:lineRule="auto"/>
        <w:jc w:val="both"/>
        <w:rPr>
          <w:rFonts w:ascii="Times New Roman" w:hAnsi="Times New Roman" w:cs="Times New Roman"/>
          <w:b/>
          <w:bCs/>
          <w:color w:val="auto"/>
        </w:rPr>
      </w:pPr>
      <w:bookmarkStart w:id="49" w:name="_Toc146809853"/>
      <w:r w:rsidRPr="004B00C3">
        <w:rPr>
          <w:rFonts w:ascii="Times New Roman" w:hAnsi="Times New Roman" w:cs="Times New Roman"/>
          <w:b/>
          <w:bCs/>
          <w:color w:val="auto"/>
        </w:rPr>
        <w:t>Factor 2 – wheat-residue burning</w:t>
      </w:r>
      <w:bookmarkEnd w:id="49"/>
    </w:p>
    <w:p w14:paraId="6F726862" w14:textId="77777777" w:rsidR="00B35617" w:rsidRPr="004B00C3" w:rsidRDefault="00B35617" w:rsidP="00B35617">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Wheat-residue burning takes place every year in the NW IGP in the post-harvest season and generally peaks in the month of May. It has been shown that wheat-residue burning has a major impact on both ozone mixing ratios (Kumar et al., 2016) and VOC mixing ratios and hydroxyl radical reactivity (Kumar et al., 2018) and results in a large suite of unknown (</w:t>
      </w:r>
      <w:r w:rsidRPr="004B00C3">
        <w:rPr>
          <w:rFonts w:ascii="Cambria Math" w:hAnsi="Cambria Math" w:cs="Cambria Math"/>
          <w:sz w:val="24"/>
          <w:szCs w:val="24"/>
        </w:rPr>
        <w:t>∼</w:t>
      </w:r>
      <w:r w:rsidRPr="004B00C3">
        <w:rPr>
          <w:rFonts w:ascii="Times New Roman" w:hAnsi="Times New Roman" w:cs="Times New Roman"/>
          <w:sz w:val="24"/>
          <w:szCs w:val="24"/>
        </w:rPr>
        <w:t xml:space="preserve"> 40 %) and poorly quantified reactive gaseous emissions. Wheat-residue burning emissions are transported to the receptor site from a large fetch region and often with a significant lag time. Hence, there is no strong conditional probability for enhancements from any specific wind direction (Fig. 3.10).</w:t>
      </w:r>
    </w:p>
    <w:p w14:paraId="131B7C9A" w14:textId="77777777" w:rsidR="00B35617" w:rsidRPr="004B00C3" w:rsidRDefault="00B35617" w:rsidP="00B35617">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Figures 3.5. and 3.11. show that the wheat-residue burning factor explains a significant share of all acids, amines/amides, several ketones, aldehydes, isoprene/furan, monoterpenes, acetonotrile, propene, styrene and phenol in the PMF model. This makes wheat-residue burning the largest contributor to the human exposure to isocyanic acid in the month of May both through direct emissions of isocyanic acid and by virtue of being the largest source for its photochemical precursors. In the EDGARv4.3.2 the agricultural residue burning source of ketones, aldehydes and acids is missing. On the other hand, agricultural waste burning appears to be the dominant anthropogenic isoprene source (94 %) in the EDGARv4.3.2 inventory, while in our PMF model residential biofuel usage and the transport sector are equally important contributors to the isoprene/furan mass. The monoterpene emissions from agricultural residue burning (6 %) in the EDGARv4.3.2 inventory are dwarfed by emissions from solvent use (90 %), while in our PMF solution wheat-residue burning and the transport sector appear to be the dominant anthropogenic sources of signals at m/z 81 and 137.</w:t>
      </w:r>
    </w:p>
    <w:p w14:paraId="30F1B7AC" w14:textId="77777777" w:rsidR="00B35617" w:rsidRPr="004B00C3" w:rsidRDefault="00B35617" w:rsidP="004B00C3">
      <w:pPr>
        <w:spacing w:line="360" w:lineRule="auto"/>
        <w:jc w:val="both"/>
        <w:rPr>
          <w:rFonts w:ascii="Times New Roman" w:hAnsi="Times New Roman" w:cs="Times New Roman"/>
          <w:sz w:val="24"/>
          <w:szCs w:val="24"/>
        </w:rPr>
      </w:pPr>
    </w:p>
    <w:p w14:paraId="47D5FFB4" w14:textId="77777777" w:rsidR="003E0353" w:rsidRPr="004B00C3" w:rsidRDefault="00B3552F" w:rsidP="004B00C3">
      <w:pPr>
        <w:spacing w:line="360" w:lineRule="auto"/>
        <w:jc w:val="center"/>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7614C16B" wp14:editId="3E0A1D9E">
            <wp:extent cx="3282950" cy="821222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307362" cy="8273288"/>
                    </a:xfrm>
                    <a:prstGeom prst="rect">
                      <a:avLst/>
                    </a:prstGeom>
                    <a:noFill/>
                  </pic:spPr>
                </pic:pic>
              </a:graphicData>
            </a:graphic>
          </wp:inline>
        </w:drawing>
      </w:r>
    </w:p>
    <w:p w14:paraId="1108472C" w14:textId="31554167" w:rsidR="009463D1" w:rsidRPr="004B00C3" w:rsidRDefault="003E0353" w:rsidP="00520B72">
      <w:pPr>
        <w:pStyle w:val="Caption"/>
        <w:spacing w:line="360" w:lineRule="auto"/>
        <w:jc w:val="both"/>
        <w:rPr>
          <w:rFonts w:ascii="Times New Roman" w:hAnsi="Times New Roman" w:cs="Times New Roman"/>
          <w:color w:val="auto"/>
          <w:sz w:val="24"/>
          <w:szCs w:val="24"/>
        </w:rPr>
      </w:pPr>
      <w:bookmarkStart w:id="50" w:name="_Toc133577930"/>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11</w:t>
      </w:r>
      <w:r w:rsidRPr="004B00C3">
        <w:rPr>
          <w:rFonts w:ascii="Times New Roman" w:hAnsi="Times New Roman" w:cs="Times New Roman"/>
          <w:color w:val="auto"/>
          <w:sz w:val="24"/>
          <w:szCs w:val="24"/>
        </w:rPr>
        <w:fldChar w:fldCharType="end"/>
      </w:r>
      <w:r w:rsidR="000F7BB4" w:rsidRPr="004B00C3">
        <w:rPr>
          <w:rFonts w:ascii="Times New Roman" w:hAnsi="Times New Roman" w:cs="Times New Roman"/>
          <w:color w:val="auto"/>
          <w:sz w:val="24"/>
          <w:szCs w:val="24"/>
        </w:rPr>
        <w:t xml:space="preserve"> Contribution of individual PMF-derived source factors to the total mass of different VOCs.</w:t>
      </w:r>
      <w:bookmarkEnd w:id="50"/>
    </w:p>
    <w:p w14:paraId="04FD2761" w14:textId="1B9BB46F" w:rsidR="00457242" w:rsidRPr="004B00C3" w:rsidRDefault="00176B61"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0CD764EF" wp14:editId="67924158">
            <wp:extent cx="5302250" cy="320332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307569" cy="3206533"/>
                    </a:xfrm>
                    <a:prstGeom prst="rect">
                      <a:avLst/>
                    </a:prstGeom>
                    <a:noFill/>
                    <a:ln>
                      <a:noFill/>
                    </a:ln>
                  </pic:spPr>
                </pic:pic>
              </a:graphicData>
            </a:graphic>
          </wp:inline>
        </w:drawing>
      </w:r>
    </w:p>
    <w:p w14:paraId="213A6A8F" w14:textId="4B528DD4" w:rsidR="00457242" w:rsidRPr="004B00C3" w:rsidRDefault="003E0353" w:rsidP="00520B72">
      <w:pPr>
        <w:pStyle w:val="Caption"/>
        <w:spacing w:line="360" w:lineRule="auto"/>
        <w:jc w:val="both"/>
        <w:rPr>
          <w:rFonts w:ascii="Times New Roman" w:hAnsi="Times New Roman" w:cs="Times New Roman"/>
          <w:color w:val="auto"/>
          <w:sz w:val="24"/>
          <w:szCs w:val="24"/>
        </w:rPr>
      </w:pPr>
      <w:bookmarkStart w:id="51" w:name="_Toc133577931"/>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12</w:t>
      </w:r>
      <w:r w:rsidRPr="004B00C3">
        <w:rPr>
          <w:rFonts w:ascii="Times New Roman" w:hAnsi="Times New Roman" w:cs="Times New Roman"/>
          <w:color w:val="auto"/>
          <w:sz w:val="24"/>
          <w:szCs w:val="24"/>
        </w:rPr>
        <w:fldChar w:fldCharType="end"/>
      </w:r>
      <w:r w:rsidR="00457242" w:rsidRPr="004B00C3">
        <w:rPr>
          <w:rFonts w:ascii="Times New Roman" w:hAnsi="Times New Roman" w:cs="Times New Roman"/>
          <w:color w:val="auto"/>
          <w:sz w:val="24"/>
          <w:szCs w:val="24"/>
        </w:rPr>
        <w:t xml:space="preserve"> Comparison of the PMF output with benzene emission inventories for the study region.</w:t>
      </w:r>
      <w:bookmarkEnd w:id="51"/>
    </w:p>
    <w:p w14:paraId="2DC1D8A7" w14:textId="26E58E30" w:rsidR="00645C48" w:rsidRPr="004B00C3" w:rsidRDefault="00645C48" w:rsidP="004B00C3">
      <w:pPr>
        <w:pStyle w:val="Heading3"/>
        <w:spacing w:line="360" w:lineRule="auto"/>
        <w:jc w:val="both"/>
        <w:rPr>
          <w:rFonts w:ascii="Times New Roman" w:hAnsi="Times New Roman" w:cs="Times New Roman"/>
          <w:b/>
          <w:bCs/>
          <w:color w:val="auto"/>
        </w:rPr>
      </w:pPr>
      <w:bookmarkStart w:id="52" w:name="_Toc146809854"/>
      <w:r w:rsidRPr="004B00C3">
        <w:rPr>
          <w:rFonts w:ascii="Times New Roman" w:hAnsi="Times New Roman" w:cs="Times New Roman"/>
          <w:b/>
          <w:bCs/>
          <w:color w:val="auto"/>
        </w:rPr>
        <w:t>Factor 3 – industrial emissions and solvent use</w:t>
      </w:r>
      <w:bookmarkEnd w:id="52"/>
    </w:p>
    <w:p w14:paraId="494E431B" w14:textId="43700116"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source fingerprint of the industrial emissions and solvent use factor is dominated by methanol (7.3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acetic acid (3.9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and acetone (2.9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This points towards solvent use (Gaimoz et al., 2011) and/or polymer manufacturing (Sarkar et al., 2017) contributing to the industrial emission and solvent use factor. In addition, Figs. 3</w:t>
      </w:r>
      <w:r w:rsidR="00342DD4" w:rsidRPr="004B00C3">
        <w:rPr>
          <w:rFonts w:ascii="Times New Roman" w:hAnsi="Times New Roman" w:cs="Times New Roman"/>
          <w:sz w:val="24"/>
          <w:szCs w:val="24"/>
        </w:rPr>
        <w:t>.</w:t>
      </w:r>
      <w:r w:rsidR="00114289" w:rsidRPr="004B00C3">
        <w:rPr>
          <w:rFonts w:ascii="Times New Roman" w:hAnsi="Times New Roman" w:cs="Times New Roman"/>
          <w:sz w:val="24"/>
          <w:szCs w:val="24"/>
        </w:rPr>
        <w:t>5</w:t>
      </w:r>
      <w:r w:rsidR="00342DD4" w:rsidRPr="004B00C3">
        <w:rPr>
          <w:rFonts w:ascii="Times New Roman" w:hAnsi="Times New Roman" w:cs="Times New Roman"/>
          <w:sz w:val="24"/>
          <w:szCs w:val="24"/>
        </w:rPr>
        <w:t>.</w:t>
      </w:r>
      <w:r w:rsidRPr="004B00C3">
        <w:rPr>
          <w:rFonts w:ascii="Times New Roman" w:hAnsi="Times New Roman" w:cs="Times New Roman"/>
          <w:sz w:val="24"/>
          <w:szCs w:val="24"/>
        </w:rPr>
        <w:t xml:space="preserve"> and</w:t>
      </w:r>
      <w:r w:rsidR="00342DD4" w:rsidRPr="004B00C3">
        <w:rPr>
          <w:rFonts w:ascii="Times New Roman" w:hAnsi="Times New Roman" w:cs="Times New Roman"/>
          <w:sz w:val="24"/>
          <w:szCs w:val="24"/>
        </w:rPr>
        <w:t xml:space="preserve"> 3.</w:t>
      </w:r>
      <w:r w:rsidR="00114289" w:rsidRPr="004B00C3">
        <w:rPr>
          <w:rFonts w:ascii="Times New Roman" w:hAnsi="Times New Roman" w:cs="Times New Roman"/>
          <w:sz w:val="24"/>
          <w:szCs w:val="24"/>
        </w:rPr>
        <w:t>11</w:t>
      </w:r>
      <w:r w:rsidR="00342DD4" w:rsidRPr="004B00C3">
        <w:rPr>
          <w:rFonts w:ascii="Times New Roman" w:hAnsi="Times New Roman" w:cs="Times New Roman"/>
          <w:sz w:val="24"/>
          <w:szCs w:val="24"/>
        </w:rPr>
        <w:t>.</w:t>
      </w:r>
      <w:r w:rsidRPr="004B00C3">
        <w:rPr>
          <w:rFonts w:ascii="Times New Roman" w:hAnsi="Times New Roman" w:cs="Times New Roman"/>
          <w:sz w:val="24"/>
          <w:szCs w:val="24"/>
        </w:rPr>
        <w:t xml:space="preserve"> show that this factor explains a significant fraction of the benzene (20 %) and acetonitrile (17 %) mass in the PMF model. While both are known for their use as solvents (Brown et al., 2007), they can also be emitted from the combustion. The EDGARv4.3.2 emission inventory has a strong industrial and solvent source of toluene, xylenes, acids, formaldehyde and monoterpenes which is not reflected with equal strength in our PMF solution.</w:t>
      </w:r>
    </w:p>
    <w:p w14:paraId="249D2900" w14:textId="6769E7A2"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The correlation of the industrial emissions and solvent use factor with the SO</w:t>
      </w:r>
      <w:r w:rsidRPr="004B00C3">
        <w:rPr>
          <w:rFonts w:ascii="Times New Roman" w:hAnsi="Times New Roman" w:cs="Times New Roman"/>
          <w:sz w:val="24"/>
          <w:szCs w:val="24"/>
          <w:vertAlign w:val="subscript"/>
        </w:rPr>
        <w:t>2</w:t>
      </w:r>
      <w:r w:rsidRPr="004B00C3">
        <w:rPr>
          <w:rFonts w:ascii="Times New Roman" w:hAnsi="Times New Roman" w:cs="Times New Roman"/>
          <w:sz w:val="24"/>
          <w:szCs w:val="24"/>
        </w:rPr>
        <w:t xml:space="preserve"> time series (R = 0.6), indicates that the emissions of coal or biofuel burning in industrial units and/or coal-fired power plants may also be contributing to this factor profile. Figure </w:t>
      </w:r>
      <w:r w:rsidR="00C5031B" w:rsidRPr="004B00C3">
        <w:rPr>
          <w:rFonts w:ascii="Times New Roman" w:hAnsi="Times New Roman" w:cs="Times New Roman"/>
          <w:sz w:val="24"/>
          <w:szCs w:val="24"/>
        </w:rPr>
        <w:t>3.</w:t>
      </w:r>
      <w:r w:rsidR="00114289" w:rsidRPr="004B00C3">
        <w:rPr>
          <w:rFonts w:ascii="Times New Roman" w:hAnsi="Times New Roman" w:cs="Times New Roman"/>
          <w:sz w:val="24"/>
          <w:szCs w:val="24"/>
        </w:rPr>
        <w:t>10</w:t>
      </w:r>
      <w:r w:rsidR="00C5031B" w:rsidRPr="004B00C3">
        <w:rPr>
          <w:rFonts w:ascii="Times New Roman" w:hAnsi="Times New Roman" w:cs="Times New Roman"/>
          <w:sz w:val="24"/>
          <w:szCs w:val="24"/>
        </w:rPr>
        <w:t>.</w:t>
      </w:r>
      <w:r w:rsidRPr="004B00C3">
        <w:rPr>
          <w:rFonts w:ascii="Times New Roman" w:hAnsi="Times New Roman" w:cs="Times New Roman"/>
          <w:sz w:val="24"/>
          <w:szCs w:val="24"/>
        </w:rPr>
        <w:t xml:space="preserve"> shows that the highest conditional probability of this factor is to the southeast direction (120–150</w:t>
      </w:r>
      <w:r w:rsidR="00C5031B"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 xml:space="preserve"> wind sector). The receptor site is downwind of a 600 MW coal-fired power plant located in Jagadhri (80 km SE) as</w:t>
      </w:r>
      <w:r w:rsidR="00C5031B"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well as downwind of several industrial areas and brick kiln clusters located around Dera Bassi (15 km), Lalru (20 km) and Jagadhari (80 km) </w:t>
      </w:r>
      <w:r w:rsidRPr="004B00C3">
        <w:rPr>
          <w:rFonts w:ascii="Times New Roman" w:hAnsi="Times New Roman" w:cs="Times New Roman"/>
          <w:sz w:val="24"/>
          <w:szCs w:val="24"/>
        </w:rPr>
        <w:lastRenderedPageBreak/>
        <w:t>when the wind blows from this direction. In the Kathmandu valley, biofuel co-fired brick kilns explained a significant fraction of the benzene and acetonitrile mass (Sarkar et al., 2017) and the factor profile shows a moderate correlation with the source signature of brick kiln</w:t>
      </w:r>
      <w:r w:rsidR="0012461E" w:rsidRPr="004B00C3">
        <w:rPr>
          <w:rFonts w:ascii="Times New Roman" w:hAnsi="Times New Roman" w:cs="Times New Roman"/>
          <w:sz w:val="24"/>
          <w:szCs w:val="24"/>
        </w:rPr>
        <w:t xml:space="preserve"> </w:t>
      </w:r>
      <w:r w:rsidRPr="004B00C3">
        <w:rPr>
          <w:rFonts w:ascii="Times New Roman" w:hAnsi="Times New Roman" w:cs="Times New Roman"/>
          <w:sz w:val="24"/>
          <w:szCs w:val="24"/>
        </w:rPr>
        <w:t>emissions (R = 0.5), and hence a combustion contribution from brick kilns to the factor profile cannot be ruled out.</w:t>
      </w:r>
      <w:r w:rsidR="0012461E" w:rsidRPr="004B00C3">
        <w:rPr>
          <w:rFonts w:ascii="Times New Roman" w:hAnsi="Times New Roman" w:cs="Times New Roman"/>
          <w:sz w:val="24"/>
          <w:szCs w:val="24"/>
        </w:rPr>
        <w:t xml:space="preserve"> </w:t>
      </w:r>
      <w:r w:rsidRPr="004B00C3">
        <w:rPr>
          <w:rFonts w:ascii="Times New Roman" w:hAnsi="Times New Roman" w:cs="Times New Roman"/>
          <w:sz w:val="24"/>
          <w:szCs w:val="24"/>
        </w:rPr>
        <w:t>The diel profile broadly reflects boundary layer dynamics, with factor contributions increasing continuously through- out the night, indicating a buildup of constant emissions in the nocturnal boundary layer. Factor contributions peak in the early morning (32–49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between 05:00–09:00 local time, LT) and the factor contribution of this factor decreases from 09:00 LT onwards after the breakup of the nocturnal boundary layer. This factor has a higher average than</w:t>
      </w:r>
      <w:r w:rsidR="00CA56FA" w:rsidRPr="004B00C3">
        <w:rPr>
          <w:rFonts w:ascii="Times New Roman" w:hAnsi="Times New Roman" w:cs="Times New Roman"/>
          <w:sz w:val="24"/>
          <w:szCs w:val="24"/>
        </w:rPr>
        <w:t xml:space="preserve"> </w:t>
      </w:r>
      <w:r w:rsidRPr="004B00C3">
        <w:rPr>
          <w:rFonts w:ascii="Times New Roman" w:hAnsi="Times New Roman" w:cs="Times New Roman"/>
          <w:sz w:val="24"/>
          <w:szCs w:val="24"/>
        </w:rPr>
        <w:t>the median factor contributions at night due to strong plumes (</w:t>
      </w:r>
      <w:r w:rsidRPr="004B00C3">
        <w:rPr>
          <w:rFonts w:ascii="Cambria Math" w:hAnsi="Cambria Math" w:cs="Cambria Math"/>
          <w:sz w:val="24"/>
          <w:szCs w:val="24"/>
        </w:rPr>
        <w:t>∼</w:t>
      </w:r>
      <w:r w:rsidRPr="004B00C3">
        <w:rPr>
          <w:rFonts w:ascii="Times New Roman" w:hAnsi="Times New Roman" w:cs="Times New Roman"/>
          <w:sz w:val="24"/>
          <w:szCs w:val="24"/>
        </w:rPr>
        <w:t xml:space="preserve"> 375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reaching the receptor when it is downwind of the industrial sector but not during other nights when the</w:t>
      </w:r>
      <w:r w:rsidR="00755F78" w:rsidRPr="004B00C3">
        <w:rPr>
          <w:rFonts w:ascii="Times New Roman" w:hAnsi="Times New Roman" w:cs="Times New Roman"/>
          <w:sz w:val="24"/>
          <w:szCs w:val="24"/>
        </w:rPr>
        <w:t xml:space="preserve"> </w:t>
      </w:r>
      <w:r w:rsidRPr="004B00C3">
        <w:rPr>
          <w:rFonts w:ascii="Times New Roman" w:hAnsi="Times New Roman" w:cs="Times New Roman"/>
          <w:sz w:val="24"/>
          <w:szCs w:val="24"/>
        </w:rPr>
        <w:t>wind direction is from rural Punjab (NW) or the urban sector (NE).</w:t>
      </w:r>
    </w:p>
    <w:p w14:paraId="2FA4CA3C" w14:textId="303EB10A" w:rsidR="00645C48" w:rsidRPr="004B00C3" w:rsidRDefault="00645C48" w:rsidP="004B00C3">
      <w:pPr>
        <w:pStyle w:val="Heading3"/>
        <w:spacing w:line="360" w:lineRule="auto"/>
        <w:jc w:val="both"/>
        <w:rPr>
          <w:rFonts w:ascii="Times New Roman" w:hAnsi="Times New Roman" w:cs="Times New Roman"/>
          <w:b/>
          <w:bCs/>
          <w:color w:val="auto"/>
        </w:rPr>
      </w:pPr>
      <w:bookmarkStart w:id="53" w:name="_Toc146809855"/>
      <w:r w:rsidRPr="004B00C3">
        <w:rPr>
          <w:rFonts w:ascii="Times New Roman" w:hAnsi="Times New Roman" w:cs="Times New Roman"/>
          <w:b/>
          <w:bCs/>
          <w:color w:val="auto"/>
        </w:rPr>
        <w:t>Factor 4 and 5 – cars and two-wheelers</w:t>
      </w:r>
      <w:bookmarkEnd w:id="53"/>
    </w:p>
    <w:p w14:paraId="62BDDDF8" w14:textId="297D8DE1" w:rsidR="00CC37BE"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The factor profile of the four-wheeler factor explains a significant share of all aromatic compounds in the PMF model. The factor represents a mixture of multiple components con- tributed by fuel exhaust and fuel evaporative running losses from vehicles and resembles ambient air samples from a busy traffic intersection. Similar profiles have been observed during field measurements in Beirut, Lebanon (Salameh et al., 2014, 2016) and Hong Kong (Ho et al., 2004). The highest conditional probability (Fig. </w:t>
      </w:r>
      <w:r w:rsidR="00F37B54" w:rsidRPr="004B00C3">
        <w:rPr>
          <w:rFonts w:ascii="Times New Roman" w:hAnsi="Times New Roman" w:cs="Times New Roman"/>
          <w:sz w:val="24"/>
          <w:szCs w:val="24"/>
        </w:rPr>
        <w:t>3.1</w:t>
      </w:r>
      <w:r w:rsidR="005160D8" w:rsidRPr="004B00C3">
        <w:rPr>
          <w:rFonts w:ascii="Times New Roman" w:hAnsi="Times New Roman" w:cs="Times New Roman"/>
          <w:sz w:val="24"/>
          <w:szCs w:val="24"/>
        </w:rPr>
        <w:t>3</w:t>
      </w:r>
      <w:r w:rsidR="00F37B54" w:rsidRPr="004B00C3">
        <w:rPr>
          <w:rFonts w:ascii="Times New Roman" w:hAnsi="Times New Roman" w:cs="Times New Roman"/>
          <w:sz w:val="24"/>
          <w:szCs w:val="24"/>
        </w:rPr>
        <w:t>.</w:t>
      </w:r>
      <w:r w:rsidRPr="004B00C3">
        <w:rPr>
          <w:rFonts w:ascii="Times New Roman" w:hAnsi="Times New Roman" w:cs="Times New Roman"/>
          <w:sz w:val="24"/>
          <w:szCs w:val="24"/>
        </w:rPr>
        <w:t>) is observed for the Chandigarh wind sector (0–90</w:t>
      </w:r>
      <w:r w:rsidR="00165D45"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 As reported previously from Mexico City during the Milagro campaign (Bon et al., 2011), a significant mass of methanol (4.3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and other oxygenated VOCs were present in the traffic emissions factor. The fact that this factor explains 28 % of the total m/z 57 is consistent with the gasoline additive MTBE (which is still in use in India) being detected at this m/z ratio as an interference to acrolein/methylketone (Karl et al., 2003; Warneke et al., 2003, 2005; Rogers et al., 2006). Signals at m/z 31,</w:t>
      </w:r>
      <w:r w:rsidR="00C16B9B" w:rsidRPr="004B00C3">
        <w:rPr>
          <w:rFonts w:ascii="Times New Roman" w:hAnsi="Times New Roman" w:cs="Times New Roman"/>
          <w:sz w:val="24"/>
          <w:szCs w:val="24"/>
        </w:rPr>
        <w:t xml:space="preserve"> </w:t>
      </w:r>
      <w:r w:rsidRPr="004B00C3">
        <w:rPr>
          <w:rFonts w:ascii="Times New Roman" w:hAnsi="Times New Roman" w:cs="Times New Roman"/>
          <w:sz w:val="24"/>
          <w:szCs w:val="24"/>
        </w:rPr>
        <w:t>47, 59, 61, 73 and 87 in aged traffic plumes can be attributed to formaldehyde, formic acid, glyoxal, acetic acid, methyl-glyoxal and 2-butanedione, which are products of the gas phase oxidation of toluene, C-8 and C-9 aromatic compounds (Bethel et al., 2000; Ervens et al., 2004). In addition, car exhaust also explained 34 % of the propyne mass in the model.</w:t>
      </w:r>
    </w:p>
    <w:p w14:paraId="04BD5C61" w14:textId="5B602B86" w:rsidR="00CC37BE" w:rsidRPr="004B00C3" w:rsidRDefault="00CC37BE"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Factor 5, two-wheeler exhaust, explains 50 % of the total toluene mass as well as 17 %, 12 % and 9 % of the total C-8 aromatics, benzene and C-9 aromatics in the PMF model, </w:t>
      </w:r>
      <w:r w:rsidRPr="004B00C3">
        <w:rPr>
          <w:rFonts w:ascii="Times New Roman" w:hAnsi="Times New Roman" w:cs="Times New Roman"/>
          <w:sz w:val="24"/>
          <w:szCs w:val="24"/>
        </w:rPr>
        <w:lastRenderedPageBreak/>
        <w:t xml:space="preserve">respectively. The factor shows a signal at m/z 61 (acetic acid) which may partially be due to fragmentation of octane or ethyl acetate (Warneke et al., 2003; Rogers et al., 2006) which could be present in fuel. The mass has also been attributed to acetic acid in a previous study of diesel tailpipe emissions (Jobson et al., 2005). Nevertheless, it still seems that the two-wheeler factor profile has a higher contribution from oxidized compounds compared to the car factor profile, indicating that the plumes are typically more aged. Figure </w:t>
      </w:r>
      <w:r w:rsidR="00F613F7" w:rsidRPr="004B00C3">
        <w:rPr>
          <w:rFonts w:ascii="Times New Roman" w:hAnsi="Times New Roman" w:cs="Times New Roman"/>
          <w:sz w:val="24"/>
          <w:szCs w:val="24"/>
        </w:rPr>
        <w:t>3.1</w:t>
      </w:r>
      <w:r w:rsidR="005160D8" w:rsidRPr="004B00C3">
        <w:rPr>
          <w:rFonts w:ascii="Times New Roman" w:hAnsi="Times New Roman" w:cs="Times New Roman"/>
          <w:sz w:val="24"/>
          <w:szCs w:val="24"/>
        </w:rPr>
        <w:t>3</w:t>
      </w:r>
      <w:r w:rsidR="00F613F7" w:rsidRPr="004B00C3">
        <w:rPr>
          <w:rFonts w:ascii="Times New Roman" w:hAnsi="Times New Roman" w:cs="Times New Roman"/>
          <w:sz w:val="24"/>
          <w:szCs w:val="24"/>
        </w:rPr>
        <w:t>.</w:t>
      </w:r>
      <w:r w:rsidRPr="004B00C3">
        <w:rPr>
          <w:rFonts w:ascii="Times New Roman" w:hAnsi="Times New Roman" w:cs="Times New Roman"/>
          <w:sz w:val="24"/>
          <w:szCs w:val="24"/>
        </w:rPr>
        <w:t xml:space="preserve"> shows that this factor displays higher conditional probability than the car factor towards the towns Kharar (8 km N), Dera Bassi (15 km SE) and Lalru (20 km SE), and a lower conditional probability than the car factor towards Chandigarh (NE), indicating two-wheelers are more abundant in small towns, while cars dominate the traffic emissions in urban Chandigarh. This is independently supported by vehicle registration data (http://mospi.nic.in/statistical-year-book-india/ 2018/189, last access: 28 April 2019).</w:t>
      </w:r>
    </w:p>
    <w:p w14:paraId="2414D4F0" w14:textId="4E5141E8" w:rsidR="00C16B9B" w:rsidRPr="004B00C3" w:rsidRDefault="00C16B9B"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173632B0" wp14:editId="243131A1">
            <wp:extent cx="5314950" cy="3563190"/>
            <wp:effectExtent l="0" t="0" r="0" b="0"/>
            <wp:docPr id="17"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1.jpeg"/>
                    <pic:cNvPicPr/>
                  </pic:nvPicPr>
                  <pic:blipFill>
                    <a:blip r:embed="rId27" cstate="print"/>
                    <a:stretch>
                      <a:fillRect/>
                    </a:stretch>
                  </pic:blipFill>
                  <pic:spPr>
                    <a:xfrm>
                      <a:off x="0" y="0"/>
                      <a:ext cx="5319731" cy="3566395"/>
                    </a:xfrm>
                    <a:prstGeom prst="rect">
                      <a:avLst/>
                    </a:prstGeom>
                  </pic:spPr>
                </pic:pic>
              </a:graphicData>
            </a:graphic>
          </wp:inline>
        </w:drawing>
      </w:r>
    </w:p>
    <w:p w14:paraId="602BCE71" w14:textId="73E7810B" w:rsidR="00C16B9B" w:rsidRPr="004B00C3" w:rsidRDefault="003E0353" w:rsidP="00520B72">
      <w:pPr>
        <w:pStyle w:val="Caption"/>
        <w:spacing w:line="360" w:lineRule="auto"/>
        <w:jc w:val="both"/>
        <w:rPr>
          <w:rFonts w:ascii="Times New Roman" w:hAnsi="Times New Roman" w:cs="Times New Roman"/>
          <w:color w:val="auto"/>
          <w:sz w:val="24"/>
          <w:szCs w:val="24"/>
        </w:rPr>
      </w:pPr>
      <w:bookmarkStart w:id="54" w:name="_Toc133577932"/>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13</w:t>
      </w:r>
      <w:r w:rsidRPr="004B00C3">
        <w:rPr>
          <w:rFonts w:ascii="Times New Roman" w:hAnsi="Times New Roman" w:cs="Times New Roman"/>
          <w:color w:val="auto"/>
          <w:sz w:val="24"/>
          <w:szCs w:val="24"/>
        </w:rPr>
        <w:fldChar w:fldCharType="end"/>
      </w:r>
      <w:r w:rsidR="00C16B9B" w:rsidRPr="004B00C3">
        <w:rPr>
          <w:rFonts w:ascii="Times New Roman" w:hAnsi="Times New Roman" w:cs="Times New Roman"/>
          <w:color w:val="auto"/>
          <w:sz w:val="24"/>
          <w:szCs w:val="24"/>
        </w:rPr>
        <w:t xml:space="preserve"> Factor contribution time series, factor diel variability and CPF plot for PMF factor 4 and factor 5 (cars and two-wheelers) and PMF factor 6 (mixed daytime) for May 2012. The time series of PMF factor’s hourly mass (in µg m</w:t>
      </w:r>
      <w:r w:rsidR="00C16B9B" w:rsidRPr="004B00C3">
        <w:rPr>
          <w:rFonts w:ascii="Times New Roman" w:hAnsi="Times New Roman" w:cs="Times New Roman"/>
          <w:color w:val="auto"/>
          <w:sz w:val="24"/>
          <w:szCs w:val="24"/>
          <w:vertAlign w:val="superscript"/>
        </w:rPr>
        <w:t>−3</w:t>
      </w:r>
      <w:r w:rsidR="00C16B9B" w:rsidRPr="004B00C3">
        <w:rPr>
          <w:rFonts w:ascii="Times New Roman" w:hAnsi="Times New Roman" w:cs="Times New Roman"/>
          <w:color w:val="auto"/>
          <w:sz w:val="24"/>
          <w:szCs w:val="24"/>
        </w:rPr>
        <w:t>) is plotted against independent tracer species NO</w:t>
      </w:r>
      <w:r w:rsidR="00C16B9B" w:rsidRPr="004B00C3">
        <w:rPr>
          <w:rFonts w:ascii="Times New Roman" w:hAnsi="Times New Roman" w:cs="Times New Roman"/>
          <w:color w:val="auto"/>
          <w:sz w:val="24"/>
          <w:szCs w:val="24"/>
          <w:vertAlign w:val="subscript"/>
        </w:rPr>
        <w:t>y</w:t>
      </w:r>
      <w:r w:rsidR="00C16B9B" w:rsidRPr="004B00C3">
        <w:rPr>
          <w:rFonts w:ascii="Times New Roman" w:hAnsi="Times New Roman" w:cs="Times New Roman"/>
          <w:color w:val="auto"/>
          <w:sz w:val="24"/>
          <w:szCs w:val="24"/>
        </w:rPr>
        <w:t xml:space="preserve"> (in ppbv) for the car and two-wheeler factor and O3 (in ppbv) for the mixed daytime factor. The diel box-and-whisker plot shows the statistical parameters of factor’s hourly mass contribution (in µg m</w:t>
      </w:r>
      <w:r w:rsidR="00C16B9B" w:rsidRPr="004B00C3">
        <w:rPr>
          <w:rFonts w:ascii="Times New Roman" w:hAnsi="Times New Roman" w:cs="Times New Roman"/>
          <w:color w:val="auto"/>
          <w:sz w:val="24"/>
          <w:szCs w:val="24"/>
          <w:vertAlign w:val="superscript"/>
        </w:rPr>
        <w:t>−3</w:t>
      </w:r>
      <w:r w:rsidR="00C16B9B" w:rsidRPr="004B00C3">
        <w:rPr>
          <w:rFonts w:ascii="Times New Roman" w:hAnsi="Times New Roman" w:cs="Times New Roman"/>
          <w:color w:val="auto"/>
          <w:sz w:val="24"/>
          <w:szCs w:val="24"/>
        </w:rPr>
        <w:t xml:space="preserve">) for every hour of the day </w:t>
      </w:r>
      <w:r w:rsidR="00C16B9B" w:rsidRPr="004B00C3">
        <w:rPr>
          <w:rFonts w:ascii="Times New Roman" w:hAnsi="Times New Roman" w:cs="Times New Roman"/>
          <w:color w:val="auto"/>
          <w:sz w:val="24"/>
          <w:szCs w:val="24"/>
        </w:rPr>
        <w:lastRenderedPageBreak/>
        <w:t>plotted against the start time of the hour. The width of the box gives 25th and 75th percentiles, 50th percentile partitions the box; whiskers represent 10th and 90th percentiles of the dataset and average values are given by solid circles.</w:t>
      </w:r>
      <w:bookmarkEnd w:id="54"/>
    </w:p>
    <w:p w14:paraId="4107C54C" w14:textId="2EC860AD"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Figure </w:t>
      </w:r>
      <w:r w:rsidR="00CC37BE" w:rsidRPr="004B00C3">
        <w:rPr>
          <w:rFonts w:ascii="Times New Roman" w:hAnsi="Times New Roman" w:cs="Times New Roman"/>
          <w:sz w:val="24"/>
          <w:szCs w:val="24"/>
        </w:rPr>
        <w:t>3.1</w:t>
      </w:r>
      <w:r w:rsidR="005160D8" w:rsidRPr="004B00C3">
        <w:rPr>
          <w:rFonts w:ascii="Times New Roman" w:hAnsi="Times New Roman" w:cs="Times New Roman"/>
          <w:sz w:val="24"/>
          <w:szCs w:val="24"/>
        </w:rPr>
        <w:t>3</w:t>
      </w:r>
      <w:r w:rsidRPr="004B00C3">
        <w:rPr>
          <w:rFonts w:ascii="Times New Roman" w:hAnsi="Times New Roman" w:cs="Times New Roman"/>
          <w:sz w:val="24"/>
          <w:szCs w:val="24"/>
        </w:rPr>
        <w:t xml:space="preserve"> illustrates that both the traffic factors show bimodal peaks in morning (19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at 05:00–09:00 LT) and evening (38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at 19:00–21:00 LT) during peak traffic</w:t>
      </w:r>
      <w:r w:rsidR="00C87C75" w:rsidRPr="004B00C3">
        <w:rPr>
          <w:rFonts w:ascii="Times New Roman" w:hAnsi="Times New Roman" w:cs="Times New Roman"/>
          <w:sz w:val="24"/>
          <w:szCs w:val="24"/>
        </w:rPr>
        <w:t xml:space="preserve"> </w:t>
      </w:r>
      <w:r w:rsidRPr="004B00C3">
        <w:rPr>
          <w:rFonts w:ascii="Times New Roman" w:hAnsi="Times New Roman" w:cs="Times New Roman"/>
          <w:sz w:val="24"/>
          <w:szCs w:val="24"/>
        </w:rPr>
        <w:t xml:space="preserve">hours. Mass loadings during evening rush hour are higher than during morning rush hour, because peak morning traffic occurs after the breakup of the nocturnal boundary layer, while in the evening emissions accumulate </w:t>
      </w:r>
      <w:r w:rsidR="004A37A1" w:rsidRPr="004B00C3">
        <w:rPr>
          <w:rFonts w:ascii="Times New Roman" w:hAnsi="Times New Roman" w:cs="Times New Roman"/>
          <w:sz w:val="24"/>
          <w:szCs w:val="24"/>
        </w:rPr>
        <w:t>in the</w:t>
      </w:r>
      <w:r w:rsidRPr="004B00C3">
        <w:rPr>
          <w:rFonts w:ascii="Times New Roman" w:hAnsi="Times New Roman" w:cs="Times New Roman"/>
          <w:sz w:val="24"/>
          <w:szCs w:val="24"/>
        </w:rPr>
        <w:t xml:space="preserve"> shallow nocturnal boundary layer. When the wind blows from the urban sector (0–90</w:t>
      </w:r>
      <w:r w:rsidR="004A37A1"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 during peak traffic hours (19:00– 21:00 LT)</w:t>
      </w:r>
      <w:r w:rsidR="00C07C8A" w:rsidRPr="004B00C3">
        <w:rPr>
          <w:rFonts w:ascii="Times New Roman" w:hAnsi="Times New Roman" w:cs="Times New Roman"/>
          <w:sz w:val="24"/>
          <w:szCs w:val="24"/>
        </w:rPr>
        <w:t xml:space="preserve">, </w:t>
      </w:r>
      <w:r w:rsidRPr="004B00C3">
        <w:rPr>
          <w:rFonts w:ascii="Times New Roman" w:hAnsi="Times New Roman" w:cs="Times New Roman"/>
          <w:sz w:val="24"/>
          <w:szCs w:val="24"/>
        </w:rPr>
        <w:t>peak factor contributions of &gt; 260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for cars and &gt; 150 µg m</w:t>
      </w:r>
      <w:r w:rsidRPr="004B00C3">
        <w:rPr>
          <w:rFonts w:ascii="Times New Roman" w:hAnsi="Times New Roman" w:cs="Times New Roman"/>
          <w:sz w:val="24"/>
          <w:szCs w:val="24"/>
          <w:vertAlign w:val="superscript"/>
        </w:rPr>
        <w:t>−3</w:t>
      </w:r>
      <w:r w:rsidRPr="004B00C3">
        <w:rPr>
          <w:rFonts w:ascii="Times New Roman" w:hAnsi="Times New Roman" w:cs="Times New Roman"/>
          <w:sz w:val="24"/>
          <w:szCs w:val="24"/>
        </w:rPr>
        <w:t xml:space="preserve"> for two-wheelers are observed.</w:t>
      </w:r>
    </w:p>
    <w:p w14:paraId="6228DC02" w14:textId="6989F890"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As can be seen from Fig. </w:t>
      </w:r>
      <w:r w:rsidR="00825063" w:rsidRPr="004B00C3">
        <w:rPr>
          <w:rFonts w:ascii="Times New Roman" w:hAnsi="Times New Roman" w:cs="Times New Roman"/>
          <w:sz w:val="24"/>
          <w:szCs w:val="24"/>
        </w:rPr>
        <w:t>3.</w:t>
      </w:r>
      <w:r w:rsidR="005160D8" w:rsidRPr="004B00C3">
        <w:rPr>
          <w:rFonts w:ascii="Times New Roman" w:hAnsi="Times New Roman" w:cs="Times New Roman"/>
          <w:sz w:val="24"/>
          <w:szCs w:val="24"/>
        </w:rPr>
        <w:t>11</w:t>
      </w:r>
      <w:r w:rsidR="00825063" w:rsidRPr="004B00C3">
        <w:rPr>
          <w:rFonts w:ascii="Times New Roman" w:hAnsi="Times New Roman" w:cs="Times New Roman"/>
          <w:sz w:val="24"/>
          <w:szCs w:val="24"/>
        </w:rPr>
        <w:t>.</w:t>
      </w:r>
      <w:r w:rsidRPr="004B00C3">
        <w:rPr>
          <w:rFonts w:ascii="Times New Roman" w:hAnsi="Times New Roman" w:cs="Times New Roman"/>
          <w:sz w:val="24"/>
          <w:szCs w:val="24"/>
        </w:rPr>
        <w:t xml:space="preserve">, the two traffic factors jointly explain 47 %, 80 %, 70 % and 67 % of the total benzene, toluene, C-8 and C-9 aromatic compounds in the model, consistent with findings from the Kathmandu valley that traffic, not residential biofuel use and waste disposal, is the more important source of aromatic compounds in South Asia. It is also clear that despite stringent regulations, the transport sector in the region is still the largest contributor to human benzene exposure. It can be seen from Fig. </w:t>
      </w:r>
      <w:r w:rsidR="00F220C7" w:rsidRPr="004B00C3">
        <w:rPr>
          <w:rFonts w:ascii="Times New Roman" w:hAnsi="Times New Roman" w:cs="Times New Roman"/>
          <w:sz w:val="24"/>
          <w:szCs w:val="24"/>
        </w:rPr>
        <w:t>3.1</w:t>
      </w:r>
      <w:r w:rsidR="005160D8" w:rsidRPr="004B00C3">
        <w:rPr>
          <w:rFonts w:ascii="Times New Roman" w:hAnsi="Times New Roman" w:cs="Times New Roman"/>
          <w:sz w:val="24"/>
          <w:szCs w:val="24"/>
        </w:rPr>
        <w:t>2</w:t>
      </w:r>
      <w:r w:rsidR="00F220C7" w:rsidRPr="004B00C3">
        <w:rPr>
          <w:rFonts w:ascii="Times New Roman" w:hAnsi="Times New Roman" w:cs="Times New Roman"/>
          <w:sz w:val="24"/>
          <w:szCs w:val="24"/>
        </w:rPr>
        <w:t>, 3.1</w:t>
      </w:r>
      <w:r w:rsidR="005160D8" w:rsidRPr="004B00C3">
        <w:rPr>
          <w:rFonts w:ascii="Times New Roman" w:hAnsi="Times New Roman" w:cs="Times New Roman"/>
          <w:sz w:val="24"/>
          <w:szCs w:val="24"/>
        </w:rPr>
        <w:t>4</w:t>
      </w:r>
      <w:r w:rsidR="00F220C7" w:rsidRPr="004B00C3">
        <w:rPr>
          <w:rFonts w:ascii="Times New Roman" w:hAnsi="Times New Roman" w:cs="Times New Roman"/>
          <w:sz w:val="24"/>
          <w:szCs w:val="24"/>
        </w:rPr>
        <w:t>-3.1</w:t>
      </w:r>
      <w:r w:rsidR="005160D8" w:rsidRPr="004B00C3">
        <w:rPr>
          <w:rFonts w:ascii="Times New Roman" w:hAnsi="Times New Roman" w:cs="Times New Roman"/>
          <w:sz w:val="24"/>
          <w:szCs w:val="24"/>
        </w:rPr>
        <w:t>6</w:t>
      </w:r>
      <w:r w:rsidRPr="004B00C3">
        <w:rPr>
          <w:rFonts w:ascii="Times New Roman" w:hAnsi="Times New Roman" w:cs="Times New Roman"/>
          <w:sz w:val="24"/>
          <w:szCs w:val="24"/>
        </w:rPr>
        <w:t xml:space="preserve"> that at present, various emission inventories consider the transport sector to be a minor source of benzene (10 %–16 %). The EDGARv4.3.2 emission inventory also considers the transport sector to be only a minor source of toluene (11 %– 15 %) and xylenes (17 %–22 %). Residential fuel usage, industry and solvent use are considered to be the most significant year-round source of benzene, toluene and xylenes in EDGARv4.3.2. Agricultural residue burning becomes the most significant source of all aromatic compounds in the EDGARv4.3.2 emission inventory when crop residue burning emissions are treated as occurring during crop residue burning season only, which may imply that the annual emissions of aromatic compounds from the stubble burning may be overestimated. REAS v.2.1 appears to be overestimating the residential fuel burning contribution to benzene and toluene emissions and the solvent usage contribution to toluene emissions. However, it captures the contribution of the transport sector to xylenes and trimethylbenzenes emissions well.</w:t>
      </w:r>
    </w:p>
    <w:p w14:paraId="3BFC53FB" w14:textId="086F6344" w:rsidR="000E1A77" w:rsidRPr="004B00C3" w:rsidRDefault="009F07B4"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25AE169C" wp14:editId="0B915E7E">
            <wp:extent cx="5469168" cy="3124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472798" cy="3126274"/>
                    </a:xfrm>
                    <a:prstGeom prst="rect">
                      <a:avLst/>
                    </a:prstGeom>
                    <a:noFill/>
                    <a:ln>
                      <a:noFill/>
                    </a:ln>
                  </pic:spPr>
                </pic:pic>
              </a:graphicData>
            </a:graphic>
          </wp:inline>
        </w:drawing>
      </w:r>
    </w:p>
    <w:p w14:paraId="2D4DBB3F" w14:textId="3160FD75" w:rsidR="000E1A77" w:rsidRDefault="003E0353" w:rsidP="00520B72">
      <w:pPr>
        <w:pStyle w:val="Caption"/>
        <w:spacing w:line="360" w:lineRule="auto"/>
        <w:jc w:val="both"/>
        <w:rPr>
          <w:rFonts w:ascii="Times New Roman" w:hAnsi="Times New Roman" w:cs="Times New Roman"/>
          <w:color w:val="auto"/>
          <w:sz w:val="24"/>
          <w:szCs w:val="24"/>
        </w:rPr>
      </w:pPr>
      <w:bookmarkStart w:id="55" w:name="_Toc133577933"/>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14</w:t>
      </w:r>
      <w:r w:rsidRPr="004B00C3">
        <w:rPr>
          <w:rFonts w:ascii="Times New Roman" w:hAnsi="Times New Roman" w:cs="Times New Roman"/>
          <w:color w:val="auto"/>
          <w:sz w:val="24"/>
          <w:szCs w:val="24"/>
        </w:rPr>
        <w:fldChar w:fldCharType="end"/>
      </w:r>
      <w:r w:rsidR="000E1A77" w:rsidRPr="004B00C3">
        <w:rPr>
          <w:rFonts w:ascii="Times New Roman" w:hAnsi="Times New Roman" w:cs="Times New Roman"/>
          <w:color w:val="auto"/>
          <w:sz w:val="24"/>
          <w:szCs w:val="24"/>
        </w:rPr>
        <w:t xml:space="preserve"> Comparison of the PMF output with toluene emission inventories for the study region.</w:t>
      </w:r>
      <w:bookmarkEnd w:id="55"/>
    </w:p>
    <w:p w14:paraId="64129072" w14:textId="77777777" w:rsidR="00300B4E" w:rsidRPr="00300B4E" w:rsidRDefault="00300B4E" w:rsidP="00300B4E"/>
    <w:p w14:paraId="41A69CBB" w14:textId="373C48EB" w:rsidR="00702916" w:rsidRPr="004B00C3" w:rsidRDefault="009F07B4"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drawing>
          <wp:inline distT="0" distB="0" distL="0" distR="0" wp14:anchorId="647113B1" wp14:editId="4CC1DBA4">
            <wp:extent cx="5327650" cy="3002042"/>
            <wp:effectExtent l="0" t="0" r="6350"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30852" cy="3003846"/>
                    </a:xfrm>
                    <a:prstGeom prst="rect">
                      <a:avLst/>
                    </a:prstGeom>
                    <a:noFill/>
                    <a:ln>
                      <a:noFill/>
                    </a:ln>
                  </pic:spPr>
                </pic:pic>
              </a:graphicData>
            </a:graphic>
          </wp:inline>
        </w:drawing>
      </w:r>
    </w:p>
    <w:p w14:paraId="60564EB1" w14:textId="2B2D6392" w:rsidR="00702916" w:rsidRPr="004B00C3" w:rsidRDefault="003E0353" w:rsidP="00520B72">
      <w:pPr>
        <w:pStyle w:val="Caption"/>
        <w:spacing w:line="360" w:lineRule="auto"/>
        <w:jc w:val="both"/>
        <w:rPr>
          <w:rFonts w:ascii="Times New Roman" w:hAnsi="Times New Roman" w:cs="Times New Roman"/>
          <w:color w:val="auto"/>
          <w:sz w:val="24"/>
          <w:szCs w:val="24"/>
        </w:rPr>
      </w:pPr>
      <w:bookmarkStart w:id="56" w:name="_Toc133577934"/>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15</w:t>
      </w:r>
      <w:r w:rsidRPr="004B00C3">
        <w:rPr>
          <w:rFonts w:ascii="Times New Roman" w:hAnsi="Times New Roman" w:cs="Times New Roman"/>
          <w:color w:val="auto"/>
          <w:sz w:val="24"/>
          <w:szCs w:val="24"/>
        </w:rPr>
        <w:fldChar w:fldCharType="end"/>
      </w:r>
      <w:r w:rsidR="00702916" w:rsidRPr="004B00C3">
        <w:rPr>
          <w:rFonts w:ascii="Times New Roman" w:hAnsi="Times New Roman" w:cs="Times New Roman"/>
          <w:color w:val="auto"/>
          <w:sz w:val="24"/>
          <w:szCs w:val="24"/>
        </w:rPr>
        <w:t xml:space="preserve"> Comparison of the PMF output with xylenes in the emission inventories for the study region.</w:t>
      </w:r>
      <w:bookmarkEnd w:id="56"/>
    </w:p>
    <w:p w14:paraId="5BED2A0C" w14:textId="05B52E08" w:rsidR="009F07B4" w:rsidRPr="004B00C3" w:rsidRDefault="009F07B4"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799A9D6C" wp14:editId="6B8B5127">
            <wp:extent cx="5350869" cy="2794000"/>
            <wp:effectExtent l="0" t="0" r="254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353740" cy="2795499"/>
                    </a:xfrm>
                    <a:prstGeom prst="rect">
                      <a:avLst/>
                    </a:prstGeom>
                    <a:noFill/>
                    <a:ln>
                      <a:noFill/>
                    </a:ln>
                  </pic:spPr>
                </pic:pic>
              </a:graphicData>
            </a:graphic>
          </wp:inline>
        </w:drawing>
      </w:r>
    </w:p>
    <w:p w14:paraId="3D7F59DD" w14:textId="30F97685" w:rsidR="003023DC" w:rsidRPr="004B00C3" w:rsidRDefault="003E0353" w:rsidP="00520B72">
      <w:pPr>
        <w:pStyle w:val="Caption"/>
        <w:spacing w:line="360" w:lineRule="auto"/>
        <w:jc w:val="both"/>
        <w:rPr>
          <w:rFonts w:ascii="Times New Roman" w:hAnsi="Times New Roman" w:cs="Times New Roman"/>
          <w:color w:val="auto"/>
          <w:sz w:val="24"/>
          <w:szCs w:val="24"/>
        </w:rPr>
      </w:pPr>
      <w:bookmarkStart w:id="57" w:name="_Toc133577935"/>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16</w:t>
      </w:r>
      <w:r w:rsidRPr="004B00C3">
        <w:rPr>
          <w:rFonts w:ascii="Times New Roman" w:hAnsi="Times New Roman" w:cs="Times New Roman"/>
          <w:color w:val="auto"/>
          <w:sz w:val="24"/>
          <w:szCs w:val="24"/>
        </w:rPr>
        <w:fldChar w:fldCharType="end"/>
      </w:r>
      <w:r w:rsidR="00712BF8" w:rsidRPr="004B00C3">
        <w:rPr>
          <w:rFonts w:ascii="Times New Roman" w:hAnsi="Times New Roman" w:cs="Times New Roman"/>
          <w:color w:val="auto"/>
          <w:sz w:val="24"/>
          <w:szCs w:val="24"/>
        </w:rPr>
        <w:t xml:space="preserve"> Comparison of the PMF output of C-9 aromatic compounds with the class “other</w:t>
      </w:r>
      <w:r w:rsidR="008C0C3D" w:rsidRPr="004B00C3">
        <w:rPr>
          <w:rFonts w:ascii="Times New Roman" w:hAnsi="Times New Roman" w:cs="Times New Roman"/>
          <w:color w:val="auto"/>
          <w:sz w:val="24"/>
          <w:szCs w:val="24"/>
        </w:rPr>
        <w:t xml:space="preserve"> </w:t>
      </w:r>
      <w:r w:rsidR="00712BF8" w:rsidRPr="004B00C3">
        <w:rPr>
          <w:rFonts w:ascii="Times New Roman" w:hAnsi="Times New Roman" w:cs="Times New Roman"/>
          <w:color w:val="auto"/>
          <w:sz w:val="24"/>
          <w:szCs w:val="24"/>
        </w:rPr>
        <w:t>aromatic compounds” in the emission inventories for the study region.</w:t>
      </w:r>
      <w:bookmarkEnd w:id="57"/>
    </w:p>
    <w:p w14:paraId="4A0CF372" w14:textId="327647D0" w:rsidR="00A807E0" w:rsidRPr="004B00C3" w:rsidRDefault="00A807E0" w:rsidP="004B00C3">
      <w:pPr>
        <w:pStyle w:val="Heading3"/>
        <w:spacing w:line="360" w:lineRule="auto"/>
        <w:jc w:val="both"/>
        <w:rPr>
          <w:rFonts w:ascii="Times New Roman" w:hAnsi="Times New Roman" w:cs="Times New Roman"/>
          <w:b/>
          <w:bCs/>
          <w:color w:val="auto"/>
        </w:rPr>
      </w:pPr>
      <w:bookmarkStart w:id="58" w:name="_Toc146809856"/>
      <w:r w:rsidRPr="004B00C3">
        <w:rPr>
          <w:rFonts w:ascii="Times New Roman" w:hAnsi="Times New Roman" w:cs="Times New Roman"/>
          <w:b/>
          <w:bCs/>
          <w:color w:val="auto"/>
        </w:rPr>
        <w:t>Factor 6 – mixed daytime sources</w:t>
      </w:r>
      <w:bookmarkEnd w:id="58"/>
    </w:p>
    <w:p w14:paraId="47F2D61D" w14:textId="6549DD63" w:rsidR="00A807E0" w:rsidRPr="004B00C3" w:rsidRDefault="00A807E0"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Figures 3.</w:t>
      </w:r>
      <w:r w:rsidR="005160D8" w:rsidRPr="004B00C3">
        <w:rPr>
          <w:rFonts w:ascii="Times New Roman" w:hAnsi="Times New Roman" w:cs="Times New Roman"/>
          <w:sz w:val="24"/>
          <w:szCs w:val="24"/>
        </w:rPr>
        <w:t>5</w:t>
      </w:r>
      <w:r w:rsidRPr="004B00C3">
        <w:rPr>
          <w:rFonts w:ascii="Times New Roman" w:hAnsi="Times New Roman" w:cs="Times New Roman"/>
          <w:sz w:val="24"/>
          <w:szCs w:val="24"/>
        </w:rPr>
        <w:t xml:space="preserve"> and 3.</w:t>
      </w:r>
      <w:r w:rsidR="005160D8" w:rsidRPr="004B00C3">
        <w:rPr>
          <w:rFonts w:ascii="Times New Roman" w:hAnsi="Times New Roman" w:cs="Times New Roman"/>
          <w:sz w:val="24"/>
          <w:szCs w:val="24"/>
        </w:rPr>
        <w:t>11</w:t>
      </w:r>
      <w:r w:rsidRPr="004B00C3">
        <w:rPr>
          <w:rFonts w:ascii="Times New Roman" w:hAnsi="Times New Roman" w:cs="Times New Roman"/>
          <w:sz w:val="24"/>
          <w:szCs w:val="24"/>
        </w:rPr>
        <w:t xml:space="preserve"> show that mixed daytime sources comprising biogenic emissions and photochemically formed compounds explained 22 % of the monoterpenes and 25 % of the measured isoprene, respectively. Isoprene has a short chemical lifetime of 1.5 h during the day and 16 % and 11 % of its first-generation oxidation products MVK and MEK (Kesselmeier and Staudt, 1999) were also attributed to this factor. In addition, the mixed daytime factor explains 41 %, 44 %, 24 % and 22 % of the total formaldehyde, formic acid/ethanol, methanol and acetone mass, respectively. Photochemically formed isocyanic acid, formamide, acetamide and propanamide explain a slightly lower fraction (27 %– 37 %) of the total mass concentration of these compounds compared to what has been reported from the Kathmandu valley in wintertime (36 %–41 %). Figure 3.1</w:t>
      </w:r>
      <w:r w:rsidR="00356194" w:rsidRPr="004B00C3">
        <w:rPr>
          <w:rFonts w:ascii="Times New Roman" w:hAnsi="Times New Roman" w:cs="Times New Roman"/>
          <w:sz w:val="24"/>
          <w:szCs w:val="24"/>
        </w:rPr>
        <w:t>3</w:t>
      </w:r>
      <w:r w:rsidRPr="004B00C3">
        <w:rPr>
          <w:rFonts w:ascii="Times New Roman" w:hAnsi="Times New Roman" w:cs="Times New Roman"/>
          <w:sz w:val="24"/>
          <w:szCs w:val="24"/>
        </w:rPr>
        <w:t xml:space="preserve"> illustrates that the mixed daytime factor peaks between 09:00 and 16:00 LT and shows a slightly enhanced conditional probability for the 180–330</w:t>
      </w:r>
      <w:r w:rsidRPr="004B00C3">
        <w:rPr>
          <w:rFonts w:ascii="Times New Roman" w:eastAsia="Yu Gothic UI Light" w:hAnsi="Times New Roman" w:cs="Times New Roman"/>
          <w:sz w:val="24"/>
          <w:szCs w:val="24"/>
        </w:rPr>
        <w:t>º</w:t>
      </w:r>
      <w:r w:rsidRPr="004B00C3">
        <w:rPr>
          <w:rFonts w:ascii="Times New Roman" w:hAnsi="Times New Roman" w:cs="Times New Roman"/>
          <w:sz w:val="24"/>
          <w:szCs w:val="24"/>
        </w:rPr>
        <w:t xml:space="preserve"> rural wind sector (0.2–0.3) due to agroforestry plantations of poplar in the rural landscape.</w:t>
      </w:r>
    </w:p>
    <w:p w14:paraId="15636AF2" w14:textId="77777777" w:rsidR="00A807E0" w:rsidRPr="004B00C3" w:rsidRDefault="00A807E0" w:rsidP="004B00C3">
      <w:pPr>
        <w:spacing w:line="360" w:lineRule="auto"/>
        <w:jc w:val="both"/>
        <w:rPr>
          <w:rFonts w:ascii="Times New Roman" w:hAnsi="Times New Roman" w:cs="Times New Roman"/>
          <w:sz w:val="24"/>
          <w:szCs w:val="24"/>
        </w:rPr>
      </w:pPr>
    </w:p>
    <w:p w14:paraId="3CD0E513" w14:textId="130D4188" w:rsidR="00645C48" w:rsidRPr="004B00C3" w:rsidRDefault="00645C48" w:rsidP="004B00C3">
      <w:pPr>
        <w:pStyle w:val="Heading3"/>
        <w:spacing w:line="360" w:lineRule="auto"/>
        <w:jc w:val="both"/>
        <w:rPr>
          <w:rFonts w:ascii="Times New Roman" w:hAnsi="Times New Roman" w:cs="Times New Roman"/>
          <w:b/>
          <w:bCs/>
          <w:color w:val="auto"/>
        </w:rPr>
      </w:pPr>
      <w:bookmarkStart w:id="59" w:name="_Toc146809857"/>
      <w:r w:rsidRPr="004B00C3">
        <w:rPr>
          <w:rFonts w:ascii="Times New Roman" w:hAnsi="Times New Roman" w:cs="Times New Roman"/>
          <w:b/>
          <w:bCs/>
          <w:color w:val="auto"/>
        </w:rPr>
        <w:t>Comparison of PMF source factors with existing emission inventories</w:t>
      </w:r>
      <w:bookmarkEnd w:id="59"/>
    </w:p>
    <w:p w14:paraId="0AF3E659" w14:textId="77777777" w:rsidR="00086634" w:rsidRPr="004B00C3" w:rsidRDefault="00086634" w:rsidP="004B00C3">
      <w:pPr>
        <w:spacing w:line="360" w:lineRule="auto"/>
        <w:jc w:val="both"/>
        <w:rPr>
          <w:rFonts w:ascii="Times New Roman" w:hAnsi="Times New Roman" w:cs="Times New Roman"/>
          <w:sz w:val="24"/>
          <w:szCs w:val="24"/>
        </w:rPr>
      </w:pPr>
    </w:p>
    <w:p w14:paraId="1FE9D8C9" w14:textId="59279A0D" w:rsidR="00B53635" w:rsidRPr="004B00C3" w:rsidRDefault="00B53635" w:rsidP="004B00C3">
      <w:pPr>
        <w:spacing w:line="360" w:lineRule="auto"/>
        <w:jc w:val="both"/>
        <w:rPr>
          <w:rFonts w:ascii="Times New Roman" w:hAnsi="Times New Roman" w:cs="Times New Roman"/>
          <w:sz w:val="24"/>
          <w:szCs w:val="24"/>
        </w:rPr>
      </w:pPr>
      <w:r w:rsidRPr="004B00C3">
        <w:rPr>
          <w:rFonts w:ascii="Times New Roman" w:hAnsi="Times New Roman" w:cs="Times New Roman"/>
          <w:noProof/>
          <w:sz w:val="24"/>
          <w:szCs w:val="24"/>
          <w:lang w:eastAsia="en-IN"/>
        </w:rPr>
        <w:lastRenderedPageBreak/>
        <w:drawing>
          <wp:inline distT="0" distB="0" distL="0" distR="0" wp14:anchorId="32D53A50" wp14:editId="36F3B1AA">
            <wp:extent cx="5308600" cy="2432050"/>
            <wp:effectExtent l="0" t="0" r="6350" b="6350"/>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2.jpeg"/>
                    <pic:cNvPicPr/>
                  </pic:nvPicPr>
                  <pic:blipFill>
                    <a:blip r:embed="rId31" cstate="print"/>
                    <a:stretch>
                      <a:fillRect/>
                    </a:stretch>
                  </pic:blipFill>
                  <pic:spPr>
                    <a:xfrm>
                      <a:off x="0" y="0"/>
                      <a:ext cx="5309155" cy="2432304"/>
                    </a:xfrm>
                    <a:prstGeom prst="rect">
                      <a:avLst/>
                    </a:prstGeom>
                  </pic:spPr>
                </pic:pic>
              </a:graphicData>
            </a:graphic>
          </wp:inline>
        </w:drawing>
      </w:r>
    </w:p>
    <w:p w14:paraId="4418D18C" w14:textId="12C550D9" w:rsidR="00B53635" w:rsidRPr="004B00C3" w:rsidRDefault="003E0353" w:rsidP="00520B72">
      <w:pPr>
        <w:pStyle w:val="Caption"/>
        <w:spacing w:line="360" w:lineRule="auto"/>
        <w:jc w:val="both"/>
        <w:rPr>
          <w:rFonts w:ascii="Times New Roman" w:hAnsi="Times New Roman" w:cs="Times New Roman"/>
          <w:color w:val="auto"/>
          <w:sz w:val="24"/>
          <w:szCs w:val="24"/>
        </w:rPr>
      </w:pPr>
      <w:bookmarkStart w:id="60" w:name="_Toc133577936"/>
      <w:r w:rsidRPr="004B00C3">
        <w:rPr>
          <w:rFonts w:ascii="Times New Roman" w:hAnsi="Times New Roman" w:cs="Times New Roman"/>
          <w:color w:val="auto"/>
          <w:sz w:val="24"/>
          <w:szCs w:val="24"/>
        </w:rPr>
        <w:t xml:space="preserve">Figure 3. </w:t>
      </w:r>
      <w:r w:rsidRPr="004B00C3">
        <w:rPr>
          <w:rFonts w:ascii="Times New Roman" w:hAnsi="Times New Roman" w:cs="Times New Roman"/>
          <w:color w:val="auto"/>
          <w:sz w:val="24"/>
          <w:szCs w:val="24"/>
        </w:rPr>
        <w:fldChar w:fldCharType="begin"/>
      </w:r>
      <w:r w:rsidRPr="004B00C3">
        <w:rPr>
          <w:rFonts w:ascii="Times New Roman" w:hAnsi="Times New Roman" w:cs="Times New Roman"/>
          <w:color w:val="auto"/>
          <w:sz w:val="24"/>
          <w:szCs w:val="24"/>
        </w:rPr>
        <w:instrText xml:space="preserve"> SEQ Figure_3. \* ARABIC </w:instrText>
      </w:r>
      <w:r w:rsidRPr="004B00C3">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17</w:t>
      </w:r>
      <w:r w:rsidRPr="004B00C3">
        <w:rPr>
          <w:rFonts w:ascii="Times New Roman" w:hAnsi="Times New Roman" w:cs="Times New Roman"/>
          <w:color w:val="auto"/>
          <w:sz w:val="24"/>
          <w:szCs w:val="24"/>
        </w:rPr>
        <w:fldChar w:fldCharType="end"/>
      </w:r>
      <w:r w:rsidR="00B53635" w:rsidRPr="004B00C3">
        <w:rPr>
          <w:rFonts w:ascii="Times New Roman" w:hAnsi="Times New Roman" w:cs="Times New Roman"/>
          <w:color w:val="auto"/>
          <w:sz w:val="24"/>
          <w:szCs w:val="24"/>
        </w:rPr>
        <w:t xml:space="preserve"> Comparison of PMF-derived VOC source contribution to the EDGAR, REAS and GAINS Emission Inventory Database.</w:t>
      </w:r>
      <w:bookmarkEnd w:id="60"/>
    </w:p>
    <w:p w14:paraId="34F0D728" w14:textId="5FFC8C78"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Figure </w:t>
      </w:r>
      <w:r w:rsidR="00086634" w:rsidRPr="004B00C3">
        <w:rPr>
          <w:rFonts w:ascii="Times New Roman" w:hAnsi="Times New Roman" w:cs="Times New Roman"/>
          <w:sz w:val="24"/>
          <w:szCs w:val="24"/>
        </w:rPr>
        <w:t>3.1</w:t>
      </w:r>
      <w:r w:rsidR="005160D8" w:rsidRPr="004B00C3">
        <w:rPr>
          <w:rFonts w:ascii="Times New Roman" w:hAnsi="Times New Roman" w:cs="Times New Roman"/>
          <w:sz w:val="24"/>
          <w:szCs w:val="24"/>
        </w:rPr>
        <w:t>7</w:t>
      </w:r>
      <w:r w:rsidRPr="004B00C3">
        <w:rPr>
          <w:rFonts w:ascii="Times New Roman" w:hAnsi="Times New Roman" w:cs="Times New Roman"/>
          <w:sz w:val="24"/>
          <w:szCs w:val="24"/>
        </w:rPr>
        <w:t xml:space="preserve"> shows pie charts depicting the contribution of different sectors to the total VOC mass burden for the emission inventories and our PMF output. Biofuel use and waste disposal were responsible for 28.1 % of the mass in our PMF but 39 %, 44.2 % and 41.7 % of the mass in EDGARv4.3.2, GAINS and REASv2.1 respectively. The contribution of crop residue burning (27.1 %) to the VOC mass in the month of May would be highly underestimated by both GAINS (7 %) and EDGARv4.3.2 (6 %) if the annual emissions are attributed equally to all months of the year. However, if both emission inventories would attribute their annual crop residue burning emissions over the region only to the 2.5 months when crop residue burning actually occurs (middle of October to end of November and May), these emission inventories could be reconciled with the PMF solution, as emissions in May would amount to 26.5 % and 23 % of the monthly VOC emissions for the month of May for GAINS and EDGARv4.3.2, respectively, as shown in Fig. </w:t>
      </w:r>
      <w:r w:rsidR="00BB7943" w:rsidRPr="004B00C3">
        <w:rPr>
          <w:rFonts w:ascii="Times New Roman" w:hAnsi="Times New Roman" w:cs="Times New Roman"/>
          <w:sz w:val="24"/>
          <w:szCs w:val="24"/>
        </w:rPr>
        <w:t>3.1</w:t>
      </w:r>
      <w:r w:rsidR="005160D8" w:rsidRPr="004B00C3">
        <w:rPr>
          <w:rFonts w:ascii="Times New Roman" w:hAnsi="Times New Roman" w:cs="Times New Roman"/>
          <w:sz w:val="24"/>
          <w:szCs w:val="24"/>
        </w:rPr>
        <w:t>7</w:t>
      </w:r>
      <w:r w:rsidRPr="004B00C3">
        <w:rPr>
          <w:rFonts w:ascii="Times New Roman" w:hAnsi="Times New Roman" w:cs="Times New Roman"/>
          <w:sz w:val="24"/>
          <w:szCs w:val="24"/>
        </w:rPr>
        <w:t>.</w:t>
      </w:r>
    </w:p>
    <w:p w14:paraId="06808122" w14:textId="57A76634"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At the same time the percentage share of domestic fuel use and waste disposal would drop to 32 % and 35 % in EDGARv4.3.2 and GAINS, respectively, and the contribution of industrial emissions and solvent use would drop to 18 % in GAINS and 30 % in EDGAR. Our PMF (14.3 %) solution indicates that industrial emissions and solvent usage (14.3 %) are currently overestimated in all emission inventories but are closest to GAINS (540 Gg yr</w:t>
      </w:r>
      <w:r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18 %) for industrial emissions and solvent use. For domestic biofuel use and waste disposal EDGARv4.3.2 (968 Gg yr</w:t>
      </w:r>
      <w:r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xml:space="preserve">, 32 %) appears to agree best with our PMF solution. For wheat-residue burning GAINS agrees well with our PMF </w:t>
      </w:r>
      <w:r w:rsidRPr="004B00C3">
        <w:rPr>
          <w:rFonts w:ascii="Times New Roman" w:hAnsi="Times New Roman" w:cs="Times New Roman"/>
          <w:sz w:val="24"/>
          <w:szCs w:val="24"/>
        </w:rPr>
        <w:lastRenderedPageBreak/>
        <w:t>output, while the agricultural waste burning emissions of some of the detected compound groups (ketones, aldehydes and acids) appear to be missing in the EDGARv4.3.2 inventory. Our PMF solution for road transport sector emissions (30.5 %) lies in between the estimates of GAINS (558 Gg yr</w:t>
      </w:r>
      <w:r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24 %) and REAS (1230 Gg yr</w:t>
      </w:r>
      <w:r w:rsidRPr="004B00C3">
        <w:rPr>
          <w:rFonts w:ascii="Times New Roman" w:hAnsi="Times New Roman" w:cs="Times New Roman"/>
          <w:sz w:val="24"/>
          <w:szCs w:val="24"/>
          <w:vertAlign w:val="superscript"/>
        </w:rPr>
        <w:t>−1</w:t>
      </w:r>
      <w:r w:rsidRPr="004B00C3">
        <w:rPr>
          <w:rFonts w:ascii="Times New Roman" w:hAnsi="Times New Roman" w:cs="Times New Roman"/>
          <w:sz w:val="24"/>
          <w:szCs w:val="24"/>
        </w:rPr>
        <w:t>, 36.2 %), possibly because not all pre-2000 super-emitters for which the 20-year vehicle lifetime has been exceeded have been retired as planned.</w:t>
      </w:r>
    </w:p>
    <w:p w14:paraId="7E87E6BD" w14:textId="77777777" w:rsidR="0083796E"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Overall it appears that none of the emission inventories is ideal at the present. Our PMF solution suggests that transport sector emissions may be underestimated by GAINS and EDGARv4.3.2, while the combined effect of residential biofuel use and waste disposal emissions as well as the VOC burden associated with solvent use may be overestimated by all emission inventories. Similar results have been reported previously. Sarkar and co-workers (Sarkar et al., 2017) re- ported an underestimation of transport sector emissions for the REAS and EDGAR emission inventory for the Kathmandu valley in Nepal and an overestimation of the residential biofuel use and waste disposal source in all emission inventories, while Gaimoz and co-workers (Gaimoz et al., 2011) reported an overestimation of the VOC emissions from solvent use in Paris.</w:t>
      </w:r>
    </w:p>
    <w:p w14:paraId="6481688D" w14:textId="6DE81188" w:rsidR="00645C48" w:rsidRPr="004B00C3" w:rsidRDefault="00645C48" w:rsidP="004B00C3">
      <w:pPr>
        <w:pStyle w:val="Heading2"/>
        <w:spacing w:line="360" w:lineRule="auto"/>
        <w:jc w:val="both"/>
        <w:rPr>
          <w:rFonts w:ascii="Times New Roman" w:hAnsi="Times New Roman" w:cs="Times New Roman"/>
          <w:b/>
          <w:bCs/>
          <w:color w:val="auto"/>
          <w:sz w:val="24"/>
          <w:szCs w:val="24"/>
        </w:rPr>
      </w:pPr>
      <w:bookmarkStart w:id="61" w:name="_Toc146809858"/>
      <w:r w:rsidRPr="004B00C3">
        <w:rPr>
          <w:rFonts w:ascii="Times New Roman" w:hAnsi="Times New Roman" w:cs="Times New Roman"/>
          <w:b/>
          <w:bCs/>
          <w:color w:val="auto"/>
          <w:sz w:val="24"/>
          <w:szCs w:val="24"/>
        </w:rPr>
        <w:t>Conclusions</w:t>
      </w:r>
      <w:bookmarkEnd w:id="61"/>
    </w:p>
    <w:p w14:paraId="0E9313E7" w14:textId="0A545420" w:rsidR="00645C48" w:rsidRPr="004B00C3" w:rsidRDefault="00645C48" w:rsidP="004B00C3">
      <w:pPr>
        <w:spacing w:line="360" w:lineRule="auto"/>
        <w:jc w:val="both"/>
        <w:rPr>
          <w:rFonts w:ascii="Times New Roman" w:hAnsi="Times New Roman" w:cs="Times New Roman"/>
          <w:sz w:val="24"/>
          <w:szCs w:val="24"/>
        </w:rPr>
      </w:pPr>
      <w:bookmarkStart w:id="62" w:name="_Hlk138259596"/>
      <w:r w:rsidRPr="004B00C3">
        <w:rPr>
          <w:rFonts w:ascii="Times New Roman" w:hAnsi="Times New Roman" w:cs="Times New Roman"/>
          <w:sz w:val="24"/>
          <w:szCs w:val="24"/>
        </w:rPr>
        <w:t>Our results highlight that for accurate air quality forecasting and modeling it is essential that emissions are attributed only to the months in which the activity actually occurs. This is important for emissions from crop residue burning (which occur in May and from mid-October to the end of November). Annually averaged emissions are unlikely to yield accurate air quality forecast in regions affected by such seasonal events. At present, more specialized fire emission inventories such as FINN (Wiedinmyer et al., 2011) must be used to account for the full seasonality and day-to-day variations of open burning emissions.</w:t>
      </w:r>
      <w:r w:rsidR="00F16CA0">
        <w:rPr>
          <w:rFonts w:ascii="Times New Roman" w:hAnsi="Times New Roman" w:cs="Times New Roman"/>
          <w:sz w:val="24"/>
          <w:szCs w:val="24"/>
        </w:rPr>
        <w:t xml:space="preserve"> I</w:t>
      </w:r>
      <w:r w:rsidRPr="004B00C3">
        <w:rPr>
          <w:rFonts w:ascii="Times New Roman" w:hAnsi="Times New Roman" w:cs="Times New Roman"/>
          <w:sz w:val="24"/>
          <w:szCs w:val="24"/>
        </w:rPr>
        <w:t xml:space="preserve"> also demonstrate that the source profiles obtained as PMF output can be validated and matched against samples collected at the potential sources to validate the factor identification.</w:t>
      </w:r>
    </w:p>
    <w:p w14:paraId="3B6F3DDD" w14:textId="371EC541"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 xml:space="preserve">For the human class I carcinogen benzene, the traffic factor alone contributed to 47 % of the total benzene mass at this receptor site followed by residential biofuel use and waste disposal (25 %) and industrial emissions and solvent use (20 %). This stands in stark contrast to various emission inventories which estimate the transport sector contribution to the benzene exposure to be 10 % and consider residential biofuel use, agricultural </w:t>
      </w:r>
      <w:r w:rsidRPr="004B00C3">
        <w:rPr>
          <w:rFonts w:ascii="Times New Roman" w:hAnsi="Times New Roman" w:cs="Times New Roman"/>
          <w:sz w:val="24"/>
          <w:szCs w:val="24"/>
        </w:rPr>
        <w:lastRenderedPageBreak/>
        <w:t>residue burning and industry to be more important benzene sources. Since the annual NAAQS for benzene is exceeded at this receptor site (Chandra and Sinha, 2016), all three sectors must be targeted for emission reductions.</w:t>
      </w:r>
    </w:p>
    <w:p w14:paraId="2F8C6AAE" w14:textId="110DD4DA" w:rsidR="00645C48" w:rsidRPr="004B00C3" w:rsidRDefault="00645C48" w:rsidP="004B00C3">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For the emerging contaminant isocyanic acid, photochemical formation from precursors (37 %), wheat-residue burning (25 %), and biofuel usage and waste disposal (18 %) were the largest contributors to human exposure. The monthly average isocyanic acid mixing ratio of 1.4 ppb exceeds concentrations that can, after dissociation at blood pH, result in blood cyanate ion concentrations (Roberts et al., 2011)</w:t>
      </w:r>
      <w:r w:rsidR="00117EA1" w:rsidRPr="004B00C3">
        <w:rPr>
          <w:rFonts w:ascii="Times New Roman" w:hAnsi="Times New Roman" w:cs="Times New Roman"/>
          <w:sz w:val="24"/>
          <w:szCs w:val="24"/>
        </w:rPr>
        <w:t xml:space="preserve"> </w:t>
      </w:r>
      <w:r w:rsidRPr="004B00C3">
        <w:rPr>
          <w:rFonts w:ascii="Times New Roman" w:hAnsi="Times New Roman" w:cs="Times New Roman"/>
          <w:sz w:val="24"/>
          <w:szCs w:val="24"/>
        </w:rPr>
        <w:t>high enough to produce significant health effects in humans (Wang et al., 2007) such as atherosclerosis, cataracts and rheumatoid arthritis due to protein damage. Peak mixing ratios of this compound exceed 3 ppb in some nighttime wheat-residue burning plumes. Wheat-residue burning was also the single largest source of the photochemical precursors of isocyanic acid, namely, formamide, acetamide and propanamide, indicating that this source must be most urgently targeted to reduce human concentration exposure to isocyanic acid.</w:t>
      </w:r>
    </w:p>
    <w:p w14:paraId="7CBE48CF" w14:textId="315CA420" w:rsidR="00F331F1" w:rsidRDefault="00645C48" w:rsidP="008B7C9C">
      <w:pPr>
        <w:spacing w:line="360" w:lineRule="auto"/>
        <w:jc w:val="both"/>
        <w:rPr>
          <w:rFonts w:ascii="Times New Roman" w:hAnsi="Times New Roman" w:cs="Times New Roman"/>
          <w:sz w:val="24"/>
          <w:szCs w:val="24"/>
        </w:rPr>
      </w:pPr>
      <w:r w:rsidRPr="004B00C3">
        <w:rPr>
          <w:rFonts w:ascii="Times New Roman" w:hAnsi="Times New Roman" w:cs="Times New Roman"/>
          <w:sz w:val="24"/>
          <w:szCs w:val="24"/>
        </w:rPr>
        <w:t>Overall it appears that none of the emission inventories is ideal at the present. Our PMF solution suggests that tran</w:t>
      </w:r>
      <w:r w:rsidR="00117EA1" w:rsidRPr="004B00C3">
        <w:rPr>
          <w:rFonts w:ascii="Times New Roman" w:hAnsi="Times New Roman" w:cs="Times New Roman"/>
          <w:sz w:val="24"/>
          <w:szCs w:val="24"/>
        </w:rPr>
        <w:t>s</w:t>
      </w:r>
      <w:r w:rsidRPr="004B00C3">
        <w:rPr>
          <w:rFonts w:ascii="Times New Roman" w:hAnsi="Times New Roman" w:cs="Times New Roman"/>
          <w:sz w:val="24"/>
          <w:szCs w:val="24"/>
        </w:rPr>
        <w:t>port sector emissions may be underestimated by GAINSv5.0 and EDGARv4.3.2, while the combined effect of residential biofuel use and waste disposal emissions as well as the VOC burden associated with solvent use may be overestimated by all emission inventories. Agricultural waste burning emissions of some of the detected compound groups (ketones, aldehydes and acids) are currently missing in the EDGARv4.3.2 inventory, while aromatic emissions from the same source appear to be overestimated. Thus, large improvements are required in existing emission inventories for correct source attribution and inclusion of missing compounds over this densely populated region of the world.</w:t>
      </w:r>
      <w:bookmarkEnd w:id="62"/>
    </w:p>
    <w:p w14:paraId="575B38A2" w14:textId="77777777" w:rsidR="004B00C3" w:rsidRDefault="004B00C3" w:rsidP="008B7C9C">
      <w:pPr>
        <w:spacing w:line="360" w:lineRule="auto"/>
        <w:jc w:val="both"/>
        <w:rPr>
          <w:rFonts w:ascii="Times New Roman" w:hAnsi="Times New Roman" w:cs="Times New Roman"/>
          <w:sz w:val="24"/>
          <w:szCs w:val="24"/>
        </w:rPr>
      </w:pPr>
    </w:p>
    <w:p w14:paraId="164BB970" w14:textId="2E5670A6" w:rsidR="00F331F1" w:rsidRPr="00F331F1" w:rsidRDefault="00754AFD" w:rsidP="00754AFD">
      <w:pPr>
        <w:keepNext/>
        <w:keepLines/>
        <w:numPr>
          <w:ilvl w:val="0"/>
          <w:numId w:val="12"/>
        </w:numPr>
        <w:spacing w:before="240" w:after="0" w:line="360" w:lineRule="auto"/>
        <w:jc w:val="both"/>
        <w:outlineLvl w:val="0"/>
        <w:rPr>
          <w:rFonts w:ascii="Times New Roman" w:eastAsiaTheme="majorEastAsia" w:hAnsi="Times New Roman" w:cs="Times New Roman"/>
          <w:noProof/>
          <w:sz w:val="56"/>
          <w:szCs w:val="56"/>
        </w:rPr>
      </w:pPr>
      <w:bookmarkStart w:id="63" w:name="_Toc146809859"/>
      <w:r w:rsidRPr="00754AFD">
        <w:rPr>
          <w:rFonts w:ascii="Times New Roman" w:eastAsiaTheme="majorEastAsia" w:hAnsi="Times New Roman" w:cs="Times New Roman"/>
          <w:noProof/>
          <w:sz w:val="56"/>
          <w:szCs w:val="56"/>
          <w:lang w:val="en-US"/>
        </w:rPr>
        <w:lastRenderedPageBreak/>
        <w:t>Positive matrix factorization-based receptor modelling of particulate matter in northwest India</w:t>
      </w:r>
      <w:r>
        <w:rPr>
          <w:rStyle w:val="FootnoteReference"/>
          <w:rFonts w:ascii="Times New Roman" w:eastAsiaTheme="majorEastAsia" w:hAnsi="Times New Roman" w:cs="Times New Roman"/>
          <w:noProof/>
          <w:sz w:val="56"/>
          <w:szCs w:val="56"/>
          <w:lang w:val="en-US"/>
        </w:rPr>
        <w:footnoteReference w:id="3"/>
      </w:r>
      <w:bookmarkEnd w:id="63"/>
    </w:p>
    <w:p w14:paraId="7215C76A" w14:textId="77777777" w:rsidR="00F331F1" w:rsidRPr="00E66FEA" w:rsidRDefault="00F331F1" w:rsidP="00E66FEA">
      <w:pPr>
        <w:spacing w:line="360" w:lineRule="auto"/>
        <w:rPr>
          <w:rFonts w:ascii="Times New Roman" w:hAnsi="Times New Roman" w:cs="Times New Roman"/>
          <w:sz w:val="24"/>
          <w:szCs w:val="24"/>
        </w:rPr>
      </w:pPr>
    </w:p>
    <w:p w14:paraId="48902385" w14:textId="1684B6B6" w:rsidR="00F331F1" w:rsidRPr="00E66FEA" w:rsidRDefault="00F331F1" w:rsidP="00E66FEA">
      <w:pPr>
        <w:keepNext/>
        <w:keepLines/>
        <w:numPr>
          <w:ilvl w:val="0"/>
          <w:numId w:val="14"/>
        </w:numPr>
        <w:spacing w:before="40" w:after="0" w:line="360" w:lineRule="auto"/>
        <w:outlineLvl w:val="1"/>
        <w:rPr>
          <w:rFonts w:ascii="Times New Roman" w:eastAsiaTheme="majorEastAsia" w:hAnsi="Times New Roman" w:cs="Times New Roman"/>
          <w:b/>
          <w:bCs/>
          <w:noProof/>
          <w:sz w:val="24"/>
          <w:szCs w:val="24"/>
        </w:rPr>
      </w:pPr>
      <w:bookmarkStart w:id="64" w:name="_Toc146809860"/>
      <w:r w:rsidRPr="00E66FEA">
        <w:rPr>
          <w:rFonts w:ascii="Times New Roman" w:eastAsiaTheme="majorEastAsia" w:hAnsi="Times New Roman" w:cs="Times New Roman"/>
          <w:b/>
          <w:bCs/>
          <w:noProof/>
          <w:sz w:val="24"/>
          <w:szCs w:val="24"/>
        </w:rPr>
        <w:t>Abstract</w:t>
      </w:r>
      <w:bookmarkEnd w:id="64"/>
    </w:p>
    <w:p w14:paraId="6A4B03DF" w14:textId="69F5B520" w:rsidR="006113CB" w:rsidRPr="006113CB" w:rsidRDefault="006113CB" w:rsidP="006113CB">
      <w:pPr>
        <w:spacing w:line="360" w:lineRule="auto"/>
        <w:jc w:val="both"/>
        <w:rPr>
          <w:rFonts w:ascii="Times New Roman" w:hAnsi="Times New Roman" w:cs="Times New Roman"/>
          <w:noProof/>
          <w:sz w:val="24"/>
          <w:szCs w:val="24"/>
        </w:rPr>
      </w:pPr>
      <w:r w:rsidRPr="006113CB">
        <w:rPr>
          <w:rFonts w:ascii="Times New Roman" w:hAnsi="Times New Roman" w:cs="Times New Roman"/>
          <w:noProof/>
          <w:sz w:val="24"/>
          <w:szCs w:val="24"/>
        </w:rPr>
        <w:t>India is facing a dearth in the area of particulate matter (PM) source apportionment studies. Frequent exceedances and unusual high concentrations of  PM observed in North India further presses the identification and quantification of particulate pollution sources to plan mitigation measures. But most of the PM source apportionment studies performed here are concentrated in and around Delhi, so this paper sets to explore the sources of PM in an understudied region of North India. The present study employed positive matrix factorization (PMF) 5.0 model developed by the United States Environmental Protection Agency (US EPA) for source characterisation of particulate matter quantified at Mohali in May 2012. Application of US EPA PMF 5.0 to a hybrid dataset of particulate matter and volatile organic compounds identified seven source factors, namingly, dust, wheat residue burning, biofuel use and waste disposal, mixed daytime, cars, two-wheelers) and industrial emissions and solvent use. The contributions of these individual source factors to PM</w:t>
      </w:r>
      <w:r w:rsidRPr="006113CB">
        <w:rPr>
          <w:rFonts w:ascii="Times New Roman" w:hAnsi="Times New Roman" w:cs="Times New Roman"/>
          <w:noProof/>
          <w:sz w:val="24"/>
          <w:szCs w:val="24"/>
          <w:vertAlign w:val="subscript"/>
        </w:rPr>
        <w:t>10</w:t>
      </w:r>
      <w:r w:rsidRPr="006113CB">
        <w:rPr>
          <w:rFonts w:ascii="Times New Roman" w:hAnsi="Times New Roman" w:cs="Times New Roman"/>
          <w:noProof/>
          <w:sz w:val="24"/>
          <w:szCs w:val="24"/>
        </w:rPr>
        <w:t xml:space="preserve"> and PM</w:t>
      </w:r>
      <w:r w:rsidRPr="006113CB">
        <w:rPr>
          <w:rFonts w:ascii="Times New Roman" w:hAnsi="Times New Roman" w:cs="Times New Roman"/>
          <w:noProof/>
          <w:sz w:val="24"/>
          <w:szCs w:val="24"/>
          <w:vertAlign w:val="subscript"/>
        </w:rPr>
        <w:t>2.5</w:t>
      </w:r>
      <w:r w:rsidRPr="006113CB">
        <w:rPr>
          <w:rFonts w:ascii="Times New Roman" w:hAnsi="Times New Roman" w:cs="Times New Roman"/>
          <w:noProof/>
          <w:sz w:val="24"/>
          <w:szCs w:val="24"/>
        </w:rPr>
        <w:t xml:space="preserve"> mass loadings were found to be 48.8%, 20.6%, 15.8%, 7.79%, 2.89%, 2.86%, 1.37% and 33.6%, 22.6%, 29.6%, 4.97%, 2.05%, 4.07% and 3.07% respectively. Dust and biomass burning were the major sources of PM in Mohali that contributed relatively highest average concentrations of PM</w:t>
      </w:r>
      <w:r w:rsidRPr="006113CB">
        <w:rPr>
          <w:rFonts w:ascii="Times New Roman" w:hAnsi="Times New Roman" w:cs="Times New Roman"/>
          <w:noProof/>
          <w:sz w:val="24"/>
          <w:szCs w:val="24"/>
          <w:vertAlign w:val="subscript"/>
        </w:rPr>
        <w:t>10</w:t>
      </w:r>
      <w:r w:rsidRPr="006113CB">
        <w:rPr>
          <w:rFonts w:ascii="Times New Roman" w:hAnsi="Times New Roman" w:cs="Times New Roman"/>
          <w:noProof/>
          <w:sz w:val="24"/>
          <w:szCs w:val="24"/>
        </w:rPr>
        <w:t xml:space="preserve"> (~321 </w:t>
      </w:r>
      <w:r w:rsidRPr="006113CB">
        <w:rPr>
          <w:rFonts w:ascii="Times New Roman" w:hAnsi="Times New Roman" w:cs="Times New Roman"/>
          <w:noProof/>
          <w:sz w:val="24"/>
          <w:szCs w:val="24"/>
          <w:lang w:val="en-GB"/>
        </w:rPr>
        <w:t>µg/m³</w:t>
      </w:r>
      <w:r w:rsidRPr="006113CB">
        <w:rPr>
          <w:rFonts w:ascii="Times New Roman" w:hAnsi="Times New Roman" w:cs="Times New Roman"/>
          <w:noProof/>
          <w:sz w:val="24"/>
          <w:szCs w:val="24"/>
        </w:rPr>
        <w:t>) and PM</w:t>
      </w:r>
      <w:r w:rsidRPr="006113CB">
        <w:rPr>
          <w:rFonts w:ascii="Times New Roman" w:hAnsi="Times New Roman" w:cs="Times New Roman"/>
          <w:noProof/>
          <w:sz w:val="24"/>
          <w:szCs w:val="24"/>
          <w:vertAlign w:val="subscript"/>
        </w:rPr>
        <w:t>2.5</w:t>
      </w:r>
      <w:r w:rsidRPr="006113CB">
        <w:rPr>
          <w:rFonts w:ascii="Times New Roman" w:hAnsi="Times New Roman" w:cs="Times New Roman"/>
          <w:noProof/>
          <w:sz w:val="24"/>
          <w:szCs w:val="24"/>
        </w:rPr>
        <w:t xml:space="preserve"> (~123 </w:t>
      </w:r>
      <w:r w:rsidRPr="006113CB">
        <w:rPr>
          <w:rFonts w:ascii="Times New Roman" w:hAnsi="Times New Roman" w:cs="Times New Roman"/>
          <w:noProof/>
          <w:sz w:val="24"/>
          <w:szCs w:val="24"/>
          <w:lang w:val="en-GB"/>
        </w:rPr>
        <w:t>µg/m³</w:t>
      </w:r>
      <w:r w:rsidRPr="006113CB">
        <w:rPr>
          <w:rFonts w:ascii="Times New Roman" w:hAnsi="Times New Roman" w:cs="Times New Roman"/>
          <w:noProof/>
          <w:sz w:val="24"/>
          <w:szCs w:val="24"/>
        </w:rPr>
        <w:t>) during morning hours (05:00-10:00 LT) in May 2012. This study reaffirmed the need to check anthropogenic activities and calls for strict air quality measures, especially in May to limit PM emissions in northwest India.</w:t>
      </w:r>
    </w:p>
    <w:p w14:paraId="542C6D83" w14:textId="5AE0800A" w:rsidR="00F331F1" w:rsidRPr="00E66FEA" w:rsidRDefault="00F331F1" w:rsidP="006113CB">
      <w:pPr>
        <w:spacing w:line="360" w:lineRule="auto"/>
        <w:jc w:val="both"/>
        <w:rPr>
          <w:rFonts w:ascii="Times New Roman" w:eastAsiaTheme="majorEastAsia" w:hAnsi="Times New Roman" w:cs="Times New Roman"/>
          <w:b/>
          <w:bCs/>
          <w:noProof/>
          <w:sz w:val="24"/>
          <w:szCs w:val="24"/>
        </w:rPr>
      </w:pPr>
      <w:r w:rsidRPr="00E66FEA">
        <w:rPr>
          <w:rFonts w:ascii="Times New Roman" w:eastAsiaTheme="majorEastAsia" w:hAnsi="Times New Roman" w:cs="Times New Roman"/>
          <w:b/>
          <w:bCs/>
          <w:noProof/>
          <w:sz w:val="24"/>
          <w:szCs w:val="24"/>
        </w:rPr>
        <w:lastRenderedPageBreak/>
        <w:t>Introduction</w:t>
      </w:r>
    </w:p>
    <w:p w14:paraId="47721E78" w14:textId="77777777" w:rsidR="00F331F1" w:rsidRPr="00E66FEA" w:rsidRDefault="00F331F1" w:rsidP="00E66FEA">
      <w:pPr>
        <w:spacing w:line="360" w:lineRule="auto"/>
        <w:jc w:val="both"/>
        <w:rPr>
          <w:rFonts w:ascii="Times New Roman" w:hAnsi="Times New Roman" w:cs="Times New Roman"/>
          <w:noProof/>
          <w:sz w:val="24"/>
          <w:szCs w:val="24"/>
        </w:rPr>
      </w:pPr>
      <w:r w:rsidRPr="00E66FEA">
        <w:rPr>
          <w:rFonts w:ascii="Times New Roman" w:hAnsi="Times New Roman" w:cs="Times New Roman"/>
          <w:noProof/>
          <w:sz w:val="24"/>
          <w:szCs w:val="24"/>
        </w:rPr>
        <w:t>Air pollution continues to be one of the most significant ennvironmental hazards in India and the world despite the several air quality corrective measures in place. As per the current exposure trends and WHO air quality limits exceedances, about 99% of the global population breathes unsafe air. This indicates that almost the entire world population is at high risk of the contracting diseases caused due to air pollution. Its outcome is reflected in the air pollution-related death count of more than 6.5 million globally every year (Kuehn, 2014; Landrigan, 2017; Fuller et al., 2022). It is also noteworthy that deaths due to air pollution alone account for ~75% of total deaths resulting from all forms of pollution taken together (Fuller et al., 2022).</w:t>
      </w:r>
    </w:p>
    <w:p w14:paraId="0007C04F" w14:textId="77777777" w:rsidR="00F331F1" w:rsidRPr="00E66FEA" w:rsidRDefault="00F331F1" w:rsidP="00E66FEA">
      <w:pPr>
        <w:spacing w:line="360" w:lineRule="auto"/>
        <w:jc w:val="both"/>
        <w:rPr>
          <w:rFonts w:ascii="Times New Roman" w:hAnsi="Times New Roman" w:cs="Times New Roman"/>
          <w:sz w:val="24"/>
          <w:szCs w:val="24"/>
        </w:rPr>
      </w:pPr>
      <w:r w:rsidRPr="00E66FEA">
        <w:rPr>
          <w:rFonts w:ascii="Times New Roman" w:hAnsi="Times New Roman" w:cs="Times New Roman"/>
          <w:noProof/>
          <w:sz w:val="24"/>
          <w:szCs w:val="24"/>
        </w:rPr>
        <w:t>The air pollution situation is much more alarming in the Indian context. It contributed to over 1.6 million deaths in India in 2019 (Pandey et al., 2021). The Environmental Performance Index (EPI 2022) (Wolf et al., 2022) released by Yale Center for Environmental Law and Policy (YCELP) and Center for International Earth Science Information Network (CIESIN) placed India in the bottom-most countries in the air quality category. EPI 2022 ranked India as 179</w:t>
      </w:r>
      <w:r w:rsidRPr="00E66FEA">
        <w:rPr>
          <w:rFonts w:ascii="Times New Roman" w:hAnsi="Times New Roman" w:cs="Times New Roman"/>
          <w:noProof/>
          <w:sz w:val="24"/>
          <w:szCs w:val="24"/>
          <w:vertAlign w:val="superscript"/>
        </w:rPr>
        <w:t>th</w:t>
      </w:r>
      <w:r w:rsidRPr="00E66FEA">
        <w:rPr>
          <w:rFonts w:ascii="Times New Roman" w:hAnsi="Times New Roman" w:cs="Times New Roman"/>
          <w:noProof/>
          <w:sz w:val="24"/>
          <w:szCs w:val="24"/>
        </w:rPr>
        <w:t xml:space="preserve"> among 180 countries, with a nominal score of 7.8 in air quality. The reason for such a poor air quality score is apparent in the fact that the majority of the Indian cities do not conform to the recommended </w:t>
      </w:r>
      <w:r w:rsidRPr="00E66FEA">
        <w:rPr>
          <w:rFonts w:ascii="Times New Roman" w:hAnsi="Times New Roman" w:cs="Times New Roman"/>
          <w:sz w:val="24"/>
          <w:szCs w:val="24"/>
        </w:rPr>
        <w:t xml:space="preserve">National Ambient Air Quality Standards (NAAQS), and this especially holds for particulate matter (PM) amongst the six criteria air pollutants including particulate matter with aerodynamic diameter 2.5 </w:t>
      </w:r>
      <w:r w:rsidRPr="00E66FEA">
        <w:rPr>
          <w:rFonts w:ascii="Times New Roman" w:hAnsi="Times New Roman" w:cs="Times New Roman"/>
          <w:sz w:val="24"/>
          <w:szCs w:val="24"/>
          <w:lang w:val="en-GB"/>
        </w:rPr>
        <w:t>µ</w:t>
      </w:r>
      <w:r w:rsidRPr="00E66FEA">
        <w:rPr>
          <w:rFonts w:ascii="Times New Roman" w:hAnsi="Times New Roman" w:cs="Times New Roman"/>
          <w:sz w:val="24"/>
          <w:szCs w:val="24"/>
        </w:rPr>
        <w:t>m or lesser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particulate matter with aerodynamic diameter 10 </w:t>
      </w:r>
      <w:r w:rsidRPr="00E66FEA">
        <w:rPr>
          <w:rFonts w:ascii="Times New Roman" w:hAnsi="Times New Roman" w:cs="Times New Roman"/>
          <w:sz w:val="24"/>
          <w:szCs w:val="24"/>
          <w:lang w:val="en-GB"/>
        </w:rPr>
        <w:t>µ</w:t>
      </w:r>
      <w:r w:rsidRPr="00E66FEA">
        <w:rPr>
          <w:rFonts w:ascii="Times New Roman" w:hAnsi="Times New Roman" w:cs="Times New Roman"/>
          <w:sz w:val="24"/>
          <w:szCs w:val="24"/>
        </w:rPr>
        <w:t>m or lesser (PM</w:t>
      </w:r>
      <w:r w:rsidRPr="00E66FEA">
        <w:rPr>
          <w:rFonts w:ascii="Times New Roman" w:hAnsi="Times New Roman" w:cs="Times New Roman"/>
          <w:sz w:val="24"/>
          <w:szCs w:val="24"/>
          <w:vertAlign w:val="subscript"/>
        </w:rPr>
        <w:t>10</w:t>
      </w:r>
      <w:r w:rsidRPr="00E66FEA">
        <w:rPr>
          <w:rFonts w:ascii="Times New Roman" w:hAnsi="Times New Roman" w:cs="Times New Roman"/>
          <w:sz w:val="24"/>
          <w:szCs w:val="24"/>
        </w:rPr>
        <w:t>), sulphur dioxide (SO</w:t>
      </w:r>
      <w:r w:rsidRPr="00E66FEA">
        <w:rPr>
          <w:rFonts w:ascii="Times New Roman" w:hAnsi="Times New Roman" w:cs="Times New Roman"/>
          <w:sz w:val="24"/>
          <w:szCs w:val="24"/>
          <w:vertAlign w:val="subscript"/>
        </w:rPr>
        <w:t>2</w:t>
      </w:r>
      <w:r w:rsidRPr="00E66FEA">
        <w:rPr>
          <w:rFonts w:ascii="Times New Roman" w:hAnsi="Times New Roman" w:cs="Times New Roman"/>
          <w:sz w:val="24"/>
          <w:szCs w:val="24"/>
        </w:rPr>
        <w:t>), nitrogen oxides (NO</w:t>
      </w:r>
      <w:r w:rsidRPr="00E66FEA">
        <w:rPr>
          <w:rFonts w:ascii="Times New Roman" w:hAnsi="Times New Roman" w:cs="Times New Roman"/>
          <w:sz w:val="24"/>
          <w:szCs w:val="24"/>
          <w:vertAlign w:val="subscript"/>
        </w:rPr>
        <w:t>x</w:t>
      </w:r>
      <w:r w:rsidRPr="00E66FEA">
        <w:rPr>
          <w:rFonts w:ascii="Times New Roman" w:hAnsi="Times New Roman" w:cs="Times New Roman"/>
          <w:sz w:val="24"/>
          <w:szCs w:val="24"/>
        </w:rPr>
        <w:t>), carbon monoxide (CO) and ozone (O</w:t>
      </w:r>
      <w:r w:rsidRPr="00E66FEA">
        <w:rPr>
          <w:rFonts w:ascii="Times New Roman" w:hAnsi="Times New Roman" w:cs="Times New Roman"/>
          <w:sz w:val="24"/>
          <w:szCs w:val="24"/>
          <w:vertAlign w:val="subscript"/>
        </w:rPr>
        <w:t>3</w:t>
      </w:r>
      <w:r w:rsidRPr="00E66FEA">
        <w:rPr>
          <w:rFonts w:ascii="Times New Roman" w:hAnsi="Times New Roman" w:cs="Times New Roman"/>
          <w:sz w:val="24"/>
          <w:szCs w:val="24"/>
        </w:rPr>
        <w:t xml:space="preserve">). </w:t>
      </w:r>
    </w:p>
    <w:p w14:paraId="44693A97" w14:textId="65F65EFE" w:rsidR="00F331F1" w:rsidRPr="00E66FEA" w:rsidRDefault="00F331F1" w:rsidP="00E66FEA">
      <w:pPr>
        <w:spacing w:line="360" w:lineRule="auto"/>
        <w:jc w:val="both"/>
        <w:rPr>
          <w:rFonts w:ascii="Times New Roman" w:hAnsi="Times New Roman" w:cs="Times New Roman"/>
          <w:noProof/>
          <w:sz w:val="24"/>
          <w:szCs w:val="24"/>
        </w:rPr>
      </w:pPr>
      <w:r w:rsidRPr="00E66FEA">
        <w:rPr>
          <w:rFonts w:ascii="Times New Roman" w:hAnsi="Times New Roman" w:cs="Times New Roman"/>
          <w:sz w:val="24"/>
          <w:szCs w:val="24"/>
        </w:rPr>
        <w:t>Ambient PM levels often violate the permissible NAAQS at various sites all over India (Guttikunda et al., 2014; Kesavachandran et al., 2022). Both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t>are found to exhibit higher concentration levels and more frequent NAAQS exceedances over the Indo Gangetic Plains (IGP) relative to other regions in India (Pant et al., 2019; Hammer et al., 2020; Guttikunda &amp; Nishadh, 2022). With specific reference to Mohali, a site located in the northwest IGP,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t>values crossed the 24 h average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t xml:space="preserve">NAAQS of 60 </w:t>
      </w:r>
      <w:r w:rsidRPr="00E66FEA">
        <w:rPr>
          <w:rFonts w:ascii="Times New Roman" w:hAnsi="Times New Roman" w:cs="Times New Roman"/>
          <w:sz w:val="24"/>
          <w:szCs w:val="24"/>
          <w:lang w:val="en-GB"/>
        </w:rPr>
        <w:t xml:space="preserve">µg/m³ and 100 µg/m³ respectively on </w:t>
      </w:r>
      <w:r w:rsidRPr="00E66FEA">
        <w:rPr>
          <w:rFonts w:ascii="Times New Roman" w:hAnsi="Times New Roman" w:cs="Times New Roman"/>
          <w:sz w:val="24"/>
          <w:szCs w:val="24"/>
        </w:rPr>
        <w:t>~90% of the days in May 2012</w:t>
      </w:r>
      <w:r w:rsidRPr="00E66FEA">
        <w:rPr>
          <w:rFonts w:ascii="Times New Roman" w:hAnsi="Times New Roman" w:cs="Times New Roman"/>
          <w:sz w:val="24"/>
          <w:szCs w:val="24"/>
          <w:lang w:val="en-GB"/>
        </w:rPr>
        <w:t xml:space="preserve"> (Fig. </w:t>
      </w:r>
      <w:r w:rsidR="002D7FC9" w:rsidRPr="00E66FEA">
        <w:rPr>
          <w:rFonts w:ascii="Times New Roman" w:hAnsi="Times New Roman" w:cs="Times New Roman"/>
          <w:sz w:val="24"/>
          <w:szCs w:val="24"/>
          <w:lang w:val="en-GB"/>
        </w:rPr>
        <w:t>4.</w:t>
      </w:r>
      <w:r w:rsidRPr="00E66FEA">
        <w:rPr>
          <w:rFonts w:ascii="Times New Roman" w:hAnsi="Times New Roman" w:cs="Times New Roman"/>
          <w:sz w:val="24"/>
          <w:szCs w:val="24"/>
          <w:lang w:val="en-GB"/>
        </w:rPr>
        <w:t xml:space="preserve">1a). On switching the scales, Mohali in May 2012 showed 100% non-compliance in terms of </w:t>
      </w:r>
      <w:r w:rsidRPr="00E66FEA">
        <w:rPr>
          <w:rFonts w:ascii="Times New Roman" w:hAnsi="Times New Roman" w:cs="Times New Roman"/>
          <w:sz w:val="24"/>
          <w:szCs w:val="24"/>
        </w:rPr>
        <w:t xml:space="preserve">24 h average </w:t>
      </w:r>
      <w:r w:rsidRPr="00E66FEA">
        <w:rPr>
          <w:rFonts w:ascii="Times New Roman" w:hAnsi="Times New Roman" w:cs="Times New Roman"/>
          <w:sz w:val="24"/>
          <w:szCs w:val="24"/>
          <w:lang w:val="en-GB"/>
        </w:rPr>
        <w:t xml:space="preserve">WHO air quality limits issued for </w:t>
      </w:r>
      <w:r w:rsidRPr="00E66FEA">
        <w:rPr>
          <w:rFonts w:ascii="Times New Roman" w:hAnsi="Times New Roman" w:cs="Times New Roman"/>
          <w:sz w:val="24"/>
          <w:szCs w:val="24"/>
        </w:rPr>
        <w:t>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(15 </w:t>
      </w:r>
      <w:r w:rsidRPr="00E66FEA">
        <w:rPr>
          <w:rFonts w:ascii="Times New Roman" w:hAnsi="Times New Roman" w:cs="Times New Roman"/>
          <w:sz w:val="24"/>
          <w:szCs w:val="24"/>
          <w:lang w:val="en-GB"/>
        </w:rPr>
        <w:t xml:space="preserve">µg/m³) </w:t>
      </w:r>
      <w:r w:rsidRPr="00E66FEA">
        <w:rPr>
          <w:rFonts w:ascii="Times New Roman" w:hAnsi="Times New Roman" w:cs="Times New Roman"/>
          <w:sz w:val="24"/>
          <w:szCs w:val="24"/>
        </w:rPr>
        <w:t>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lastRenderedPageBreak/>
        <w:t xml:space="preserve">(45 </w:t>
      </w:r>
      <w:r w:rsidRPr="00E66FEA">
        <w:rPr>
          <w:rFonts w:ascii="Times New Roman" w:hAnsi="Times New Roman" w:cs="Times New Roman"/>
          <w:sz w:val="24"/>
          <w:szCs w:val="24"/>
          <w:lang w:val="en-GB"/>
        </w:rPr>
        <w:t>µg/m³</w:t>
      </w:r>
      <w:r w:rsidRPr="00E66FEA">
        <w:rPr>
          <w:rFonts w:ascii="Times New Roman" w:hAnsi="Times New Roman" w:cs="Times New Roman"/>
          <w:sz w:val="24"/>
          <w:szCs w:val="24"/>
        </w:rPr>
        <w:t>)</w:t>
      </w:r>
      <w:r w:rsidRPr="00E66FEA">
        <w:rPr>
          <w:rFonts w:ascii="Times New Roman" w:hAnsi="Times New Roman" w:cs="Times New Roman"/>
          <w:sz w:val="24"/>
          <w:szCs w:val="24"/>
          <w:vertAlign w:val="subscript"/>
        </w:rPr>
        <w:t xml:space="preserve">. </w:t>
      </w:r>
      <w:r w:rsidRPr="00E66FEA">
        <w:rPr>
          <w:rFonts w:ascii="Times New Roman" w:hAnsi="Times New Roman" w:cs="Times New Roman"/>
          <w:sz w:val="24"/>
          <w:szCs w:val="24"/>
        </w:rPr>
        <w:t>Hence, it is critical to identify and quantify the active PM pollution sources in this understudied region to aid the development and implementation of effective air pollution control strategies. Source apportionment using the positive matrix factorisation receptor model is one approach that helps identify, quantify, and determine the geographical location of air pollution sources. Chemical characterisation of PM is widely covered in the existing scientific literature. However, the number of studies to apportion the authorities responsible for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xml:space="preserve"> 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t>emissions is still a handful in India (Yadav et al., 2022). This strongly emphasises the need and the urgency of source apportionment studies for devising</w:t>
      </w:r>
      <w:r w:rsidRPr="00E66FEA">
        <w:rPr>
          <w:rFonts w:ascii="Times New Roman" w:hAnsi="Times New Roman" w:cs="Times New Roman"/>
          <w:noProof/>
          <w:sz w:val="24"/>
          <w:szCs w:val="24"/>
        </w:rPr>
        <w:t xml:space="preserve"> appropriate air pollution mitigation measures</w:t>
      </w:r>
      <w:r w:rsidRPr="00E66FEA">
        <w:rPr>
          <w:rFonts w:ascii="Times New Roman" w:hAnsi="Times New Roman" w:cs="Times New Roman"/>
          <w:sz w:val="24"/>
          <w:szCs w:val="24"/>
        </w:rPr>
        <w:t>.</w:t>
      </w:r>
    </w:p>
    <w:p w14:paraId="13F98CEC" w14:textId="77777777" w:rsidR="00F331F1" w:rsidRPr="00E66FEA" w:rsidRDefault="00F331F1" w:rsidP="00E66FEA">
      <w:pPr>
        <w:spacing w:line="360" w:lineRule="auto"/>
        <w:jc w:val="both"/>
        <w:rPr>
          <w:rFonts w:ascii="Times New Roman" w:hAnsi="Times New Roman" w:cs="Times New Roman"/>
          <w:sz w:val="24"/>
          <w:szCs w:val="24"/>
        </w:rPr>
      </w:pPr>
      <w:r w:rsidRPr="00E66FEA">
        <w:rPr>
          <w:rFonts w:ascii="Times New Roman" w:hAnsi="Times New Roman" w:cs="Times New Roman"/>
          <w:sz w:val="24"/>
          <w:szCs w:val="24"/>
        </w:rPr>
        <w:t>The current study investigates the sources contributing to PM pollution in the Mohali region using US EPA PMF 5.0 model. A mixed type data comprising ambient concentration levels of volatile organic compounds (VOCs), PM</w:t>
      </w:r>
      <w:r w:rsidRPr="00E66FEA">
        <w:rPr>
          <w:rFonts w:ascii="Times New Roman" w:hAnsi="Times New Roman" w:cs="Times New Roman"/>
          <w:sz w:val="24"/>
          <w:szCs w:val="24"/>
          <w:vertAlign w:val="subscript"/>
        </w:rPr>
        <w:t>2.5</w:t>
      </w:r>
      <w:r w:rsidRPr="00E66FEA">
        <w:rPr>
          <w:rFonts w:ascii="Times New Roman" w:hAnsi="Times New Roman" w:cs="Times New Roman"/>
          <w:sz w:val="24"/>
          <w:szCs w:val="24"/>
        </w:rPr>
        <w:t>, and PM</w:t>
      </w:r>
      <w:r w:rsidRPr="00E66FEA">
        <w:rPr>
          <w:rFonts w:ascii="Times New Roman" w:hAnsi="Times New Roman" w:cs="Times New Roman"/>
          <w:sz w:val="24"/>
          <w:szCs w:val="24"/>
          <w:vertAlign w:val="subscript"/>
        </w:rPr>
        <w:t xml:space="preserve">10 </w:t>
      </w:r>
      <w:r w:rsidRPr="00E66FEA">
        <w:rPr>
          <w:rFonts w:ascii="Times New Roman" w:hAnsi="Times New Roman" w:cs="Times New Roman"/>
          <w:sz w:val="24"/>
          <w:szCs w:val="24"/>
        </w:rPr>
        <w:t>for May 2012 and their corresponding uncertainties were fed into the PMF model to derive the source factors from it. Previous studies combining PM and VOCs data for PM source apportionment reported complete set of source factors and correct receptor model outputs (Wu et al., 2007; Kuo et al., 2014; Guha et al., 2015). It is also demonstrated that PMF receptor modelling with this kind of composite data type works better even with a relatively smaller number of data points and yields similar results compared to the ones coming out by analyses of larger datasets (Chan et al., 2011). Source apportionment of VOCs utilising the PMF 5.0 model over the Mohali region has already been reported in 2019 (Pallavi et al., 2019). It highlighted six prominent sources contributing to VOC pollution at the site and presented comparative results between the sources attributed by the PMF model and existing global emission inventories. This study goes one level ahead with the addition of PM data to unravel the significant sources causing particle pollution in Mohali.</w:t>
      </w:r>
    </w:p>
    <w:p w14:paraId="67A00795" w14:textId="77F6029D" w:rsidR="00F331F1" w:rsidRPr="00E66FEA" w:rsidRDefault="00F331F1" w:rsidP="00E66FEA">
      <w:pPr>
        <w:keepNext/>
        <w:keepLines/>
        <w:numPr>
          <w:ilvl w:val="0"/>
          <w:numId w:val="14"/>
        </w:numPr>
        <w:spacing w:before="40" w:after="0" w:line="360" w:lineRule="auto"/>
        <w:outlineLvl w:val="1"/>
        <w:rPr>
          <w:rFonts w:ascii="Times New Roman" w:eastAsiaTheme="majorEastAsia" w:hAnsi="Times New Roman" w:cs="Times New Roman"/>
          <w:b/>
          <w:bCs/>
          <w:noProof/>
          <w:sz w:val="24"/>
          <w:szCs w:val="24"/>
        </w:rPr>
      </w:pPr>
      <w:bookmarkStart w:id="65" w:name="_Toc146809861"/>
      <w:r w:rsidRPr="00E66FEA">
        <w:rPr>
          <w:rFonts w:ascii="Times New Roman" w:eastAsiaTheme="majorEastAsia" w:hAnsi="Times New Roman" w:cs="Times New Roman"/>
          <w:b/>
          <w:bCs/>
          <w:noProof/>
          <w:sz w:val="24"/>
          <w:szCs w:val="24"/>
        </w:rPr>
        <w:t>Methods</w:t>
      </w:r>
      <w:bookmarkEnd w:id="65"/>
    </w:p>
    <w:p w14:paraId="014FD4C5" w14:textId="6E336C5C" w:rsidR="00F331F1" w:rsidRPr="00E66FEA" w:rsidRDefault="00F331F1" w:rsidP="00E66FEA">
      <w:pPr>
        <w:pStyle w:val="ListParagraph"/>
        <w:keepNext/>
        <w:keepLines/>
        <w:numPr>
          <w:ilvl w:val="0"/>
          <w:numId w:val="19"/>
        </w:numPr>
        <w:spacing w:before="40" w:after="0" w:line="360" w:lineRule="auto"/>
        <w:outlineLvl w:val="2"/>
        <w:rPr>
          <w:rFonts w:ascii="Times New Roman" w:eastAsiaTheme="majorEastAsia" w:hAnsi="Times New Roman" w:cs="Times New Roman"/>
          <w:b/>
          <w:sz w:val="24"/>
          <w:szCs w:val="24"/>
        </w:rPr>
      </w:pPr>
      <w:bookmarkStart w:id="66" w:name="_Toc146809862"/>
      <w:r w:rsidRPr="00E66FEA">
        <w:rPr>
          <w:rFonts w:ascii="Times New Roman" w:eastAsiaTheme="majorEastAsia" w:hAnsi="Times New Roman" w:cs="Times New Roman"/>
          <w:b/>
          <w:noProof/>
          <w:sz w:val="24"/>
          <w:szCs w:val="24"/>
        </w:rPr>
        <w:t xml:space="preserve">Study site and </w:t>
      </w:r>
      <w:r w:rsidRPr="00E66FEA">
        <w:rPr>
          <w:rFonts w:ascii="Times New Roman" w:eastAsiaTheme="majorEastAsia" w:hAnsi="Times New Roman" w:cs="Times New Roman"/>
          <w:b/>
          <w:sz w:val="24"/>
          <w:szCs w:val="24"/>
        </w:rPr>
        <w:t>meteorology</w:t>
      </w:r>
      <w:bookmarkEnd w:id="66"/>
    </w:p>
    <w:p w14:paraId="2A322360" w14:textId="2CB772C9" w:rsidR="008C2287" w:rsidRPr="008C2287" w:rsidRDefault="008C2287" w:rsidP="008C2287">
      <w:pPr>
        <w:spacing w:line="360" w:lineRule="auto"/>
        <w:jc w:val="both"/>
        <w:rPr>
          <w:rFonts w:ascii="Times New Roman" w:hAnsi="Times New Roman" w:cs="Times New Roman"/>
          <w:sz w:val="24"/>
          <w:szCs w:val="24"/>
        </w:rPr>
      </w:pPr>
      <w:r w:rsidRPr="008C2287">
        <w:rPr>
          <w:rFonts w:ascii="Times New Roman" w:hAnsi="Times New Roman" w:cs="Times New Roman"/>
          <w:sz w:val="24"/>
          <w:szCs w:val="24"/>
        </w:rPr>
        <w:t xml:space="preserve">Mohali is located in the Indian state of Punjab and is ~250 km to the north of Delhi, the national capital of India (Fig. 4.2a). The city is situated near the foothills, to the southwest of the Shivalik range of Himalayan mountains. The Atmospheric Chemistry Facility inside Indian Institute for Science Education and Research (IISER) campus, referenced by the geographical coordinates 30.667°N, 76.729°E and 310 m above mean sea level, corresponds to the receptor site in the present study (Fig. 4.2b). The atmospheric </w:t>
      </w:r>
      <w:r w:rsidRPr="008C2287">
        <w:rPr>
          <w:rFonts w:ascii="Times New Roman" w:hAnsi="Times New Roman" w:cs="Times New Roman"/>
          <w:sz w:val="24"/>
          <w:szCs w:val="24"/>
        </w:rPr>
        <w:lastRenderedPageBreak/>
        <w:t>monitoring location is towards the edge of the city and is that of a regionally representative suburban site in the Northwest India. The regional representativeness of the measurement site has been established in detail in a previous study using ozone measurements at the site from 2011 to 2013 and by its comparison with the ozone data at different sites in Northern India (Sinha et al, 2015). Another study utilizes satellite-based fine mode particulate matter data from 2004 to 2011 (Lekinwala et al., 2020) to confirm the regional representativeness of the site by following a rigorous statistical approach and the evaluation of the site against parameters like distance from the local sources, local topography etc.</w:t>
      </w:r>
    </w:p>
    <w:p w14:paraId="6083D67E" w14:textId="77777777" w:rsidR="008C2287" w:rsidRPr="008C2287" w:rsidRDefault="008C2287" w:rsidP="008C2287">
      <w:pPr>
        <w:spacing w:line="360" w:lineRule="auto"/>
        <w:jc w:val="both"/>
        <w:rPr>
          <w:rFonts w:ascii="Times New Roman" w:hAnsi="Times New Roman" w:cs="Times New Roman"/>
          <w:sz w:val="24"/>
          <w:szCs w:val="24"/>
        </w:rPr>
      </w:pPr>
      <w:r w:rsidRPr="008C2287">
        <w:rPr>
          <w:rFonts w:ascii="Times New Roman" w:hAnsi="Times New Roman" w:cs="Times New Roman"/>
          <w:sz w:val="24"/>
          <w:szCs w:val="24"/>
        </w:rPr>
        <w:t>Mohali along with other major neighbouring cities including Chandigarh, Panchkula, Dera Bassi are shown on the map in Figure 4.2b. The wind sector spanning 0 to 90</w:t>
      </w:r>
      <w:r w:rsidRPr="008C2287">
        <w:rPr>
          <w:rFonts w:ascii="Times New Roman" w:hAnsi="Times New Roman" w:cs="Times New Roman" w:hint="eastAsia"/>
          <w:sz w:val="24"/>
          <w:szCs w:val="24"/>
        </w:rPr>
        <w:t>º</w:t>
      </w:r>
      <w:r w:rsidRPr="008C2287">
        <w:rPr>
          <w:rFonts w:ascii="Times New Roman" w:hAnsi="Times New Roman" w:cs="Times New Roman"/>
          <w:sz w:val="24"/>
          <w:szCs w:val="24"/>
        </w:rPr>
        <w:t xml:space="preserve"> (North to East) with respect to the measurement site at IISER Mohali has dominant urban emissions from Mohali, Chandigarh and Panchkula. In 90</w:t>
      </w:r>
      <w:r w:rsidRPr="008C2287">
        <w:rPr>
          <w:rFonts w:ascii="Times New Roman" w:hAnsi="Times New Roman" w:cs="Times New Roman" w:hint="eastAsia"/>
          <w:sz w:val="24"/>
          <w:szCs w:val="24"/>
        </w:rPr>
        <w:t>º</w:t>
      </w:r>
      <w:r w:rsidRPr="008C2287">
        <w:rPr>
          <w:rFonts w:ascii="Times New Roman" w:hAnsi="Times New Roman" w:cs="Times New Roman"/>
          <w:sz w:val="24"/>
          <w:szCs w:val="24"/>
        </w:rPr>
        <w:t>-180</w:t>
      </w:r>
      <w:r w:rsidRPr="008C2287">
        <w:rPr>
          <w:rFonts w:ascii="Times New Roman" w:hAnsi="Times New Roman" w:cs="Times New Roman" w:hint="eastAsia"/>
          <w:sz w:val="24"/>
          <w:szCs w:val="24"/>
        </w:rPr>
        <w:t>º</w:t>
      </w:r>
      <w:r w:rsidRPr="008C2287">
        <w:rPr>
          <w:rFonts w:ascii="Times New Roman" w:hAnsi="Times New Roman" w:cs="Times New Roman"/>
          <w:sz w:val="24"/>
          <w:szCs w:val="24"/>
        </w:rPr>
        <w:t xml:space="preserve"> (East to South) wind sector, industrial areas like Ambala and Jagadhari exists that are situated at a distance of about 50 km and 110 km from the site respectively. It includes small and medium scale steel, wood, paper, paint industries and several manufacturing units. Power stations at Ambala and Yamunanagar also exist in the same sector. The 180</w:t>
      </w:r>
      <w:r w:rsidRPr="008C2287">
        <w:rPr>
          <w:rFonts w:ascii="Times New Roman" w:hAnsi="Times New Roman" w:cs="Times New Roman" w:hint="eastAsia"/>
          <w:sz w:val="24"/>
          <w:szCs w:val="24"/>
        </w:rPr>
        <w:t>º</w:t>
      </w:r>
      <w:r w:rsidRPr="008C2287">
        <w:rPr>
          <w:rFonts w:ascii="Times New Roman" w:hAnsi="Times New Roman" w:cs="Times New Roman"/>
          <w:sz w:val="24"/>
          <w:szCs w:val="24"/>
        </w:rPr>
        <w:t>-315</w:t>
      </w:r>
      <w:r w:rsidRPr="008C2287">
        <w:rPr>
          <w:rFonts w:ascii="Times New Roman" w:hAnsi="Times New Roman" w:cs="Times New Roman" w:hint="eastAsia"/>
          <w:sz w:val="24"/>
          <w:szCs w:val="24"/>
        </w:rPr>
        <w:t>º</w:t>
      </w:r>
      <w:r w:rsidRPr="008C2287">
        <w:rPr>
          <w:rFonts w:ascii="Times New Roman" w:hAnsi="Times New Roman" w:cs="Times New Roman"/>
          <w:sz w:val="24"/>
          <w:szCs w:val="24"/>
        </w:rPr>
        <w:t xml:space="preserve"> wind sector (South to Northwest) has mixed type land use with industrial sites as well as agricultural and rural areas. Chandigarh (joint capital of the states of Punjab and Haryana) and Dera Bassi (Punjab) are the two Central Pollution Control Board (CPCB) declared non-attainment cities (Ganguly et al., 2020; Ravindra et al., 2020) that are located within 10-20 km of the measurement site. All in all, the vicinity of Mohali flooding fast with the presence of thermal power plants, various small/medium/large scale industries, several landfills, and ever-growing vehicular density holds the excellent potential of deteriorating the regional air quality, which in turn provides prospective point sources of emissions for air pollutants measured at IISER Mohali facility. </w:t>
      </w:r>
    </w:p>
    <w:p w14:paraId="3CC87797" w14:textId="77777777" w:rsidR="008C2287" w:rsidRPr="008C2287" w:rsidRDefault="008C2287" w:rsidP="008C2287">
      <w:pPr>
        <w:spacing w:line="360" w:lineRule="auto"/>
        <w:jc w:val="both"/>
        <w:rPr>
          <w:rFonts w:ascii="Times New Roman" w:hAnsi="Times New Roman" w:cs="Times New Roman"/>
          <w:sz w:val="24"/>
          <w:szCs w:val="24"/>
        </w:rPr>
      </w:pPr>
      <w:r w:rsidRPr="008C2287">
        <w:rPr>
          <w:rFonts w:ascii="Times New Roman" w:hAnsi="Times New Roman" w:cs="Times New Roman"/>
          <w:sz w:val="24"/>
          <w:szCs w:val="24"/>
        </w:rPr>
        <w:t xml:space="preserve">The general meteorological conditions prevailing at the study site in May 2012 are shown in Figure 1b and Figure 2c. Figure 1b shows the time series of the temperature registered in the pre-monsoon month at Mohali. The minimum and maximum temperatures from the start (18.5°C, 31.1°C) towards the end of the month (28.6°C, 42.8°C) showed a consistently increasing trend with an average value of 32 ± 4.9°C during the study period. </w:t>
      </w:r>
      <w:r w:rsidRPr="008C2287">
        <w:rPr>
          <w:rFonts w:ascii="Times New Roman" w:hAnsi="Times New Roman" w:cs="Times New Roman"/>
          <w:sz w:val="24"/>
          <w:szCs w:val="24"/>
        </w:rPr>
        <w:lastRenderedPageBreak/>
        <w:t>Overall, relative humidity in May 2012 fluctuated between 4.1% - 58.9% and depicted a significant variation around the average value (24.9 ± 10.1) %. The wind rose plot (Fig. 4.2c) reveals the northwest direction as the dominant fetch region of air masses arriving at the study site. About 45% of the time, winds originating from the northwest arrive at speeds between 1-10 m/s. 5.6 ± 3.3 m/s was the average wind speed during the study period. The meteorology during</w:t>
      </w:r>
    </w:p>
    <w:p w14:paraId="620F5507" w14:textId="71A0B132" w:rsidR="00F331F1" w:rsidRPr="00E66FEA" w:rsidRDefault="008C2287" w:rsidP="008C2287">
      <w:pPr>
        <w:spacing w:line="360" w:lineRule="auto"/>
        <w:jc w:val="both"/>
        <w:rPr>
          <w:rFonts w:ascii="Times New Roman" w:hAnsi="Times New Roman" w:cs="Times New Roman"/>
          <w:sz w:val="24"/>
          <w:szCs w:val="24"/>
        </w:rPr>
      </w:pPr>
      <w:r w:rsidRPr="008C2287">
        <w:rPr>
          <w:rFonts w:ascii="Times New Roman" w:hAnsi="Times New Roman" w:cs="Times New Roman"/>
          <w:sz w:val="24"/>
          <w:szCs w:val="24"/>
        </w:rPr>
        <w:t xml:space="preserve">the study period with average wind speed of ~ 6 m/s again indicated the site being impacted by more of regional emission sources and marginal local emissions. Frequent dust storm events and agricultural burning episodes typically characterized the month of May 2012. </w:t>
      </w:r>
      <w:bookmarkStart w:id="67" w:name="_Hlk144738805"/>
      <w:r w:rsidRPr="008C2287">
        <w:rPr>
          <w:rFonts w:ascii="Times New Roman" w:hAnsi="Times New Roman" w:cs="Times New Roman"/>
          <w:sz w:val="24"/>
          <w:szCs w:val="24"/>
        </w:rPr>
        <w:t>Not only the month of May or summertime at Mohali draws its unusualness from wheat residue burning events and dust storms, but other periods (like monsoon, post-monsoon season) of the year are also unusual because of varied emission activity and meteorology. Air quality in both summer and post-monsoon period is known to be heavily influenced by agricultural burning episodes. It can be seen in fig. 4.1 (c) that the summer season (March-June) followed by post monsoon (October-November) and winter (December-February) season show a systematic increase in PM</w:t>
      </w:r>
      <w:r w:rsidRPr="008C2287">
        <w:rPr>
          <w:rFonts w:ascii="Times New Roman" w:hAnsi="Times New Roman" w:cs="Times New Roman"/>
          <w:sz w:val="24"/>
          <w:szCs w:val="24"/>
          <w:vertAlign w:val="subscript"/>
        </w:rPr>
        <w:t xml:space="preserve">10  </w:t>
      </w:r>
      <w:r w:rsidRPr="008C2287">
        <w:rPr>
          <w:rFonts w:ascii="Times New Roman" w:hAnsi="Times New Roman" w:cs="Times New Roman"/>
          <w:sz w:val="24"/>
          <w:szCs w:val="24"/>
        </w:rPr>
        <w:t xml:space="preserve">values with seasonal averages of ~250 </w:t>
      </w:r>
      <w:r w:rsidRPr="008C2287">
        <w:rPr>
          <w:rFonts w:ascii="Times New Roman" w:hAnsi="Times New Roman" w:cs="Times New Roman"/>
          <w:bCs/>
          <w:sz w:val="24"/>
          <w:szCs w:val="24"/>
        </w:rPr>
        <w:t>µg/m</w:t>
      </w:r>
      <w:r w:rsidRPr="008C2287">
        <w:rPr>
          <w:rFonts w:ascii="Times New Roman" w:hAnsi="Times New Roman" w:cs="Times New Roman"/>
          <w:bCs/>
          <w:sz w:val="24"/>
          <w:szCs w:val="24"/>
          <w:vertAlign w:val="superscript"/>
        </w:rPr>
        <w:t>3</w:t>
      </w:r>
      <w:r w:rsidRPr="008C2287">
        <w:rPr>
          <w:rFonts w:ascii="Times New Roman" w:hAnsi="Times New Roman" w:cs="Times New Roman"/>
          <w:sz w:val="24"/>
          <w:szCs w:val="24"/>
        </w:rPr>
        <w:t xml:space="preserve"> and ~175 </w:t>
      </w:r>
      <w:r w:rsidRPr="008C2287">
        <w:rPr>
          <w:rFonts w:ascii="Times New Roman" w:hAnsi="Times New Roman" w:cs="Times New Roman"/>
          <w:bCs/>
          <w:sz w:val="24"/>
          <w:szCs w:val="24"/>
        </w:rPr>
        <w:t>µg/m</w:t>
      </w:r>
      <w:r w:rsidRPr="008C2287">
        <w:rPr>
          <w:rFonts w:ascii="Times New Roman" w:hAnsi="Times New Roman" w:cs="Times New Roman"/>
          <w:bCs/>
          <w:sz w:val="24"/>
          <w:szCs w:val="24"/>
          <w:vertAlign w:val="superscript"/>
        </w:rPr>
        <w:t>3</w:t>
      </w:r>
      <w:r w:rsidRPr="008C2287">
        <w:rPr>
          <w:rFonts w:ascii="Times New Roman" w:hAnsi="Times New Roman" w:cs="Times New Roman"/>
          <w:sz w:val="24"/>
          <w:szCs w:val="24"/>
        </w:rPr>
        <w:t xml:space="preserve"> respectively. Lowest average values of PM</w:t>
      </w:r>
      <w:r w:rsidRPr="008C2287">
        <w:rPr>
          <w:rFonts w:ascii="Times New Roman" w:hAnsi="Times New Roman" w:cs="Times New Roman"/>
          <w:sz w:val="24"/>
          <w:szCs w:val="24"/>
          <w:vertAlign w:val="subscript"/>
        </w:rPr>
        <w:t xml:space="preserve">2.5 </w:t>
      </w:r>
      <w:r w:rsidRPr="008C2287">
        <w:rPr>
          <w:rFonts w:ascii="Times New Roman" w:hAnsi="Times New Roman" w:cs="Times New Roman"/>
          <w:sz w:val="24"/>
          <w:szCs w:val="24"/>
        </w:rPr>
        <w:t xml:space="preserve">(~35 </w:t>
      </w:r>
      <w:r w:rsidRPr="008C2287">
        <w:rPr>
          <w:rFonts w:ascii="Times New Roman" w:hAnsi="Times New Roman" w:cs="Times New Roman"/>
          <w:bCs/>
          <w:sz w:val="24"/>
          <w:szCs w:val="24"/>
        </w:rPr>
        <w:t>µg/m</w:t>
      </w:r>
      <w:r w:rsidRPr="008C2287">
        <w:rPr>
          <w:rFonts w:ascii="Times New Roman" w:hAnsi="Times New Roman" w:cs="Times New Roman"/>
          <w:bCs/>
          <w:sz w:val="24"/>
          <w:szCs w:val="24"/>
          <w:vertAlign w:val="superscript"/>
        </w:rPr>
        <w:t>3</w:t>
      </w:r>
      <w:r w:rsidRPr="008C2287">
        <w:rPr>
          <w:rFonts w:ascii="Times New Roman" w:hAnsi="Times New Roman" w:cs="Times New Roman"/>
          <w:sz w:val="24"/>
          <w:szCs w:val="24"/>
        </w:rPr>
        <w:t>) and PM</w:t>
      </w:r>
      <w:r w:rsidRPr="008C2287">
        <w:rPr>
          <w:rFonts w:ascii="Times New Roman" w:hAnsi="Times New Roman" w:cs="Times New Roman"/>
          <w:sz w:val="24"/>
          <w:szCs w:val="24"/>
          <w:vertAlign w:val="subscript"/>
        </w:rPr>
        <w:t xml:space="preserve">10  </w:t>
      </w:r>
      <w:r w:rsidRPr="008C2287">
        <w:rPr>
          <w:rFonts w:ascii="Times New Roman" w:hAnsi="Times New Roman" w:cs="Times New Roman"/>
          <w:sz w:val="24"/>
          <w:szCs w:val="24"/>
        </w:rPr>
        <w:t xml:space="preserve">(~75 </w:t>
      </w:r>
      <w:r w:rsidRPr="008C2287">
        <w:rPr>
          <w:rFonts w:ascii="Times New Roman" w:hAnsi="Times New Roman" w:cs="Times New Roman"/>
          <w:bCs/>
          <w:sz w:val="24"/>
          <w:szCs w:val="24"/>
        </w:rPr>
        <w:t>µg/m</w:t>
      </w:r>
      <w:r w:rsidRPr="008C2287">
        <w:rPr>
          <w:rFonts w:ascii="Times New Roman" w:hAnsi="Times New Roman" w:cs="Times New Roman"/>
          <w:bCs/>
          <w:sz w:val="24"/>
          <w:szCs w:val="24"/>
          <w:vertAlign w:val="superscript"/>
        </w:rPr>
        <w:t>3</w:t>
      </w:r>
      <w:r w:rsidRPr="008C2287">
        <w:rPr>
          <w:rFonts w:ascii="Times New Roman" w:hAnsi="Times New Roman" w:cs="Times New Roman"/>
          <w:sz w:val="24"/>
          <w:szCs w:val="24"/>
        </w:rPr>
        <w:t>) are recorded in the monsoon season (July-September) at this site.</w:t>
      </w:r>
      <w:bookmarkEnd w:id="67"/>
    </w:p>
    <w:p w14:paraId="013DDF37" w14:textId="02532536" w:rsidR="00F331F1" w:rsidRPr="00E66FEA" w:rsidRDefault="009038F6" w:rsidP="00E66FEA">
      <w:pPr>
        <w:spacing w:line="360" w:lineRule="auto"/>
        <w:jc w:val="both"/>
        <w:rPr>
          <w:rFonts w:ascii="Times New Roman" w:hAnsi="Times New Roman" w:cs="Times New Roman"/>
          <w:noProof/>
          <w:sz w:val="24"/>
          <w:szCs w:val="24"/>
        </w:rPr>
      </w:pPr>
      <w:r w:rsidRPr="007405C5">
        <w:rPr>
          <w:rFonts w:cs="Times New Roman"/>
          <w:b/>
          <w:bCs/>
          <w:noProof/>
          <w:color w:val="222222"/>
          <w:szCs w:val="24"/>
          <w:shd w:val="clear" w:color="auto" w:fill="FFFFFF"/>
          <w:lang w:eastAsia="en-IN"/>
        </w:rPr>
        <w:drawing>
          <wp:inline distT="0" distB="0" distL="0" distR="0" wp14:anchorId="4AC74CBA" wp14:editId="67564A7E">
            <wp:extent cx="5371465" cy="1487180"/>
            <wp:effectExtent l="0" t="0" r="635" b="0"/>
            <wp:docPr id="18650882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5088243" name=""/>
                    <pic:cNvPicPr/>
                  </pic:nvPicPr>
                  <pic:blipFill>
                    <a:blip r:embed="rId32"/>
                    <a:stretch>
                      <a:fillRect/>
                    </a:stretch>
                  </pic:blipFill>
                  <pic:spPr>
                    <a:xfrm>
                      <a:off x="0" y="0"/>
                      <a:ext cx="5371465" cy="1487180"/>
                    </a:xfrm>
                    <a:prstGeom prst="rect">
                      <a:avLst/>
                    </a:prstGeom>
                  </pic:spPr>
                </pic:pic>
              </a:graphicData>
            </a:graphic>
          </wp:inline>
        </w:drawing>
      </w:r>
    </w:p>
    <w:p w14:paraId="3DA8E326" w14:textId="5F52E1CD" w:rsidR="00F331F1" w:rsidRPr="00E66FEA" w:rsidRDefault="003E0353" w:rsidP="00E66FEA">
      <w:pPr>
        <w:pStyle w:val="Caption"/>
        <w:spacing w:line="360" w:lineRule="auto"/>
        <w:jc w:val="both"/>
        <w:rPr>
          <w:rFonts w:ascii="Times New Roman" w:hAnsi="Times New Roman" w:cs="Times New Roman"/>
          <w:noProof/>
          <w:color w:val="auto"/>
          <w:sz w:val="24"/>
          <w:szCs w:val="24"/>
        </w:rPr>
      </w:pPr>
      <w:bookmarkStart w:id="68" w:name="_Toc133577942"/>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(a) Ambient PM</w:t>
      </w:r>
      <w:r w:rsidR="00F331F1" w:rsidRPr="00E66FEA">
        <w:rPr>
          <w:rFonts w:ascii="Times New Roman" w:hAnsi="Times New Roman" w:cs="Times New Roman"/>
          <w:noProof/>
          <w:color w:val="auto"/>
          <w:sz w:val="24"/>
          <w:szCs w:val="24"/>
          <w:vertAlign w:val="subscript"/>
        </w:rPr>
        <w:t>10</w:t>
      </w:r>
      <w:r w:rsidR="00F331F1" w:rsidRPr="00E66FEA">
        <w:rPr>
          <w:rFonts w:ascii="Times New Roman" w:hAnsi="Times New Roman" w:cs="Times New Roman"/>
          <w:noProof/>
          <w:color w:val="auto"/>
          <w:sz w:val="24"/>
          <w:szCs w:val="24"/>
        </w:rPr>
        <w:t xml:space="preserve"> and PM</w:t>
      </w:r>
      <w:r w:rsidR="00F331F1" w:rsidRPr="00E66FEA">
        <w:rPr>
          <w:rFonts w:ascii="Times New Roman" w:hAnsi="Times New Roman" w:cs="Times New Roman"/>
          <w:noProof/>
          <w:color w:val="auto"/>
          <w:sz w:val="24"/>
          <w:szCs w:val="24"/>
          <w:vertAlign w:val="subscript"/>
        </w:rPr>
        <w:t>2.5</w:t>
      </w:r>
      <w:r w:rsidR="00F331F1" w:rsidRPr="00E66FEA">
        <w:rPr>
          <w:rFonts w:ascii="Times New Roman" w:hAnsi="Times New Roman" w:cs="Times New Roman"/>
          <w:noProof/>
          <w:color w:val="auto"/>
          <w:sz w:val="24"/>
          <w:szCs w:val="24"/>
        </w:rPr>
        <w:t xml:space="preserve"> concentrations recorded at IISER Mohali campus in May 2012. (b) Time series of meteorological parameters i.e., Temperature and Relative Humidity trends during the study duration</w:t>
      </w:r>
      <w:r w:rsidR="009038F6">
        <w:rPr>
          <w:rFonts w:ascii="Times New Roman" w:hAnsi="Times New Roman" w:cs="Times New Roman"/>
          <w:noProof/>
          <w:color w:val="auto"/>
          <w:sz w:val="24"/>
          <w:szCs w:val="24"/>
        </w:rPr>
        <w:t xml:space="preserve"> (c) </w:t>
      </w:r>
      <w:r w:rsidR="009038F6" w:rsidRPr="00E66FEA">
        <w:rPr>
          <w:rFonts w:ascii="Times New Roman" w:hAnsi="Times New Roman" w:cs="Times New Roman"/>
          <w:noProof/>
          <w:color w:val="auto"/>
          <w:sz w:val="24"/>
          <w:szCs w:val="24"/>
        </w:rPr>
        <w:t>PM</w:t>
      </w:r>
      <w:r w:rsidR="009038F6" w:rsidRPr="00E66FEA">
        <w:rPr>
          <w:rFonts w:ascii="Times New Roman" w:hAnsi="Times New Roman" w:cs="Times New Roman"/>
          <w:noProof/>
          <w:color w:val="auto"/>
          <w:sz w:val="24"/>
          <w:szCs w:val="24"/>
          <w:vertAlign w:val="subscript"/>
        </w:rPr>
        <w:t>10</w:t>
      </w:r>
      <w:r w:rsidR="009038F6" w:rsidRPr="00E66FEA">
        <w:rPr>
          <w:rFonts w:ascii="Times New Roman" w:hAnsi="Times New Roman" w:cs="Times New Roman"/>
          <w:noProof/>
          <w:color w:val="auto"/>
          <w:sz w:val="24"/>
          <w:szCs w:val="24"/>
        </w:rPr>
        <w:t xml:space="preserve"> and PM</w:t>
      </w:r>
      <w:r w:rsidR="009038F6" w:rsidRPr="00E66FEA">
        <w:rPr>
          <w:rFonts w:ascii="Times New Roman" w:hAnsi="Times New Roman" w:cs="Times New Roman"/>
          <w:noProof/>
          <w:color w:val="auto"/>
          <w:sz w:val="24"/>
          <w:szCs w:val="24"/>
          <w:vertAlign w:val="subscript"/>
        </w:rPr>
        <w:t>2.5</w:t>
      </w:r>
      <w:r w:rsidR="009038F6" w:rsidRPr="00E66FEA">
        <w:rPr>
          <w:rFonts w:ascii="Times New Roman" w:hAnsi="Times New Roman" w:cs="Times New Roman"/>
          <w:noProof/>
          <w:color w:val="auto"/>
          <w:sz w:val="24"/>
          <w:szCs w:val="24"/>
        </w:rPr>
        <w:t xml:space="preserve"> </w:t>
      </w:r>
      <w:r w:rsidR="009038F6">
        <w:rPr>
          <w:rFonts w:ascii="Times New Roman" w:hAnsi="Times New Roman" w:cs="Times New Roman"/>
          <w:noProof/>
          <w:color w:val="auto"/>
          <w:sz w:val="24"/>
          <w:szCs w:val="24"/>
        </w:rPr>
        <w:t xml:space="preserve">mass concentrations in different seasons of 2012-2013 </w:t>
      </w:r>
      <w:r w:rsidR="00F331F1" w:rsidRPr="00E66FEA">
        <w:rPr>
          <w:rFonts w:ascii="Times New Roman" w:hAnsi="Times New Roman" w:cs="Times New Roman"/>
          <w:noProof/>
          <w:color w:val="auto"/>
          <w:sz w:val="24"/>
          <w:szCs w:val="24"/>
        </w:rPr>
        <w:t>.</w:t>
      </w:r>
      <w:bookmarkEnd w:id="68"/>
    </w:p>
    <w:p w14:paraId="131EFC0E" w14:textId="598DB42D" w:rsidR="00F331F1" w:rsidRPr="00E66FEA" w:rsidRDefault="009038F6" w:rsidP="00E66FEA">
      <w:pPr>
        <w:spacing w:line="360" w:lineRule="auto"/>
        <w:jc w:val="both"/>
        <w:rPr>
          <w:rFonts w:ascii="Times New Roman" w:hAnsi="Times New Roman" w:cs="Times New Roman"/>
          <w:noProof/>
          <w:sz w:val="24"/>
          <w:szCs w:val="24"/>
        </w:rPr>
      </w:pPr>
      <w:r w:rsidRPr="002613DC">
        <w:rPr>
          <w:rFonts w:cs="Times New Roman"/>
          <w:noProof/>
          <w:szCs w:val="24"/>
          <w:lang w:eastAsia="en-IN"/>
        </w:rPr>
        <w:lastRenderedPageBreak/>
        <w:drawing>
          <wp:inline distT="0" distB="0" distL="0" distR="0" wp14:anchorId="2C4611D8" wp14:editId="2F6D0324">
            <wp:extent cx="5371465" cy="1694279"/>
            <wp:effectExtent l="0" t="0" r="635" b="1270"/>
            <wp:docPr id="3032865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286576" name=""/>
                    <pic:cNvPicPr/>
                  </pic:nvPicPr>
                  <pic:blipFill>
                    <a:blip r:embed="rId33"/>
                    <a:stretch>
                      <a:fillRect/>
                    </a:stretch>
                  </pic:blipFill>
                  <pic:spPr>
                    <a:xfrm>
                      <a:off x="0" y="0"/>
                      <a:ext cx="5371465" cy="1694279"/>
                    </a:xfrm>
                    <a:prstGeom prst="rect">
                      <a:avLst/>
                    </a:prstGeom>
                  </pic:spPr>
                </pic:pic>
              </a:graphicData>
            </a:graphic>
          </wp:inline>
        </w:drawing>
      </w:r>
    </w:p>
    <w:p w14:paraId="26B85C76" w14:textId="00E12578" w:rsidR="00F331F1" w:rsidRPr="00E66FEA" w:rsidRDefault="003E0353" w:rsidP="00E66FEA">
      <w:pPr>
        <w:pStyle w:val="Caption"/>
        <w:spacing w:line="360" w:lineRule="auto"/>
        <w:jc w:val="both"/>
        <w:rPr>
          <w:rFonts w:ascii="Times New Roman" w:hAnsi="Times New Roman" w:cs="Times New Roman"/>
          <w:noProof/>
          <w:color w:val="auto"/>
          <w:sz w:val="24"/>
          <w:szCs w:val="24"/>
        </w:rPr>
      </w:pPr>
      <w:bookmarkStart w:id="69" w:name="_Toc133577943"/>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2</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(a) Location of Mohali in Northern Plains of India (b) Location of IISER-Mohali Atmospheric Chemistry facility (</w:t>
      </w:r>
      <w:r w:rsidR="009038F6">
        <w:rPr>
          <w:rFonts w:ascii="Times New Roman" w:hAnsi="Times New Roman" w:cs="Times New Roman"/>
          <w:noProof/>
          <w:color w:val="auto"/>
          <w:sz w:val="24"/>
          <w:szCs w:val="24"/>
        </w:rPr>
        <w:t>red</w:t>
      </w:r>
      <w:r w:rsidR="00F331F1" w:rsidRPr="00E66FEA">
        <w:rPr>
          <w:rFonts w:ascii="Times New Roman" w:hAnsi="Times New Roman" w:cs="Times New Roman"/>
          <w:noProof/>
          <w:color w:val="auto"/>
          <w:sz w:val="24"/>
          <w:szCs w:val="24"/>
        </w:rPr>
        <w:t xml:space="preserve"> dot) along with major nearby cities (©OpenStreetMap contributors) (c) Distribution of wind direction and wind speeds at IISER Mohali campus in May 2012 depicted by a wind rose plot.</w:t>
      </w:r>
      <w:bookmarkEnd w:id="69"/>
    </w:p>
    <w:p w14:paraId="09BFD743" w14:textId="325B352C" w:rsidR="00F331F1" w:rsidRPr="00E66FEA" w:rsidRDefault="00F331F1" w:rsidP="00E66FEA">
      <w:pPr>
        <w:pStyle w:val="ListParagraph"/>
        <w:keepNext/>
        <w:keepLines/>
        <w:numPr>
          <w:ilvl w:val="2"/>
          <w:numId w:val="25"/>
        </w:numPr>
        <w:spacing w:before="40" w:after="0" w:line="360" w:lineRule="auto"/>
        <w:outlineLvl w:val="2"/>
        <w:rPr>
          <w:rFonts w:ascii="Times New Roman" w:eastAsiaTheme="majorEastAsia" w:hAnsi="Times New Roman" w:cs="Times New Roman"/>
          <w:b/>
          <w:noProof/>
          <w:sz w:val="24"/>
          <w:szCs w:val="24"/>
        </w:rPr>
      </w:pPr>
      <w:bookmarkStart w:id="70" w:name="_Toc146809863"/>
      <w:r w:rsidRPr="00E66FEA">
        <w:rPr>
          <w:rFonts w:ascii="Times New Roman" w:eastAsiaTheme="majorEastAsia" w:hAnsi="Times New Roman" w:cs="Times New Roman"/>
          <w:b/>
          <w:noProof/>
          <w:sz w:val="24"/>
          <w:szCs w:val="24"/>
        </w:rPr>
        <w:t>PM and VOC Measurements</w:t>
      </w:r>
      <w:bookmarkEnd w:id="70"/>
    </w:p>
    <w:p w14:paraId="22258824" w14:textId="57CAAADE" w:rsidR="00811EB7" w:rsidRPr="00811EB7" w:rsidRDefault="00811EB7" w:rsidP="00811EB7">
      <w:pPr>
        <w:spacing w:line="360" w:lineRule="auto"/>
        <w:jc w:val="both"/>
        <w:rPr>
          <w:rFonts w:ascii="Times New Roman" w:hAnsi="Times New Roman" w:cs="Times New Roman"/>
          <w:noProof/>
          <w:sz w:val="24"/>
          <w:szCs w:val="24"/>
        </w:rPr>
      </w:pPr>
      <w:r w:rsidRPr="00811EB7">
        <w:rPr>
          <w:rFonts w:ascii="Times New Roman" w:hAnsi="Times New Roman" w:cs="Times New Roman"/>
          <w:noProof/>
          <w:sz w:val="24"/>
          <w:szCs w:val="24"/>
        </w:rPr>
        <w:t>Ambient datasets of PM</w:t>
      </w:r>
      <w:r w:rsidRPr="00811EB7">
        <w:rPr>
          <w:rFonts w:ascii="Times New Roman" w:hAnsi="Times New Roman" w:cs="Times New Roman"/>
          <w:noProof/>
          <w:sz w:val="24"/>
          <w:szCs w:val="24"/>
          <w:vertAlign w:val="subscript"/>
        </w:rPr>
        <w:t>2.5</w:t>
      </w:r>
      <w:r w:rsidRPr="00811EB7">
        <w:rPr>
          <w:rFonts w:ascii="Times New Roman" w:hAnsi="Times New Roman" w:cs="Times New Roman"/>
          <w:noProof/>
          <w:sz w:val="24"/>
          <w:szCs w:val="24"/>
        </w:rPr>
        <w:t>, PM</w:t>
      </w:r>
      <w:r w:rsidRPr="00811EB7">
        <w:rPr>
          <w:rFonts w:ascii="Times New Roman" w:hAnsi="Times New Roman" w:cs="Times New Roman"/>
          <w:noProof/>
          <w:sz w:val="24"/>
          <w:szCs w:val="24"/>
          <w:vertAlign w:val="subscript"/>
        </w:rPr>
        <w:t xml:space="preserve">10 </w:t>
      </w:r>
      <w:r w:rsidRPr="00811EB7">
        <w:rPr>
          <w:rFonts w:ascii="Times New Roman" w:hAnsi="Times New Roman" w:cs="Times New Roman"/>
          <w:noProof/>
          <w:sz w:val="24"/>
          <w:szCs w:val="24"/>
        </w:rPr>
        <w:t>and VOCs were utilised for PMF receptor modelling exercise to ascertain the sources contributing to PM pollution in the Mohali region. PM</w:t>
      </w:r>
      <w:r w:rsidRPr="00811EB7">
        <w:rPr>
          <w:rFonts w:ascii="Times New Roman" w:hAnsi="Times New Roman" w:cs="Times New Roman"/>
          <w:noProof/>
          <w:sz w:val="24"/>
          <w:szCs w:val="24"/>
          <w:vertAlign w:val="subscript"/>
        </w:rPr>
        <w:t>2.5</w:t>
      </w:r>
      <w:r w:rsidRPr="00811EB7">
        <w:rPr>
          <w:rFonts w:ascii="Times New Roman" w:hAnsi="Times New Roman" w:cs="Times New Roman"/>
          <w:noProof/>
          <w:sz w:val="24"/>
          <w:szCs w:val="24"/>
        </w:rPr>
        <w:t xml:space="preserve"> and PM</w:t>
      </w:r>
      <w:r w:rsidRPr="00811EB7">
        <w:rPr>
          <w:rFonts w:ascii="Times New Roman" w:hAnsi="Times New Roman" w:cs="Times New Roman"/>
          <w:noProof/>
          <w:sz w:val="24"/>
          <w:szCs w:val="24"/>
          <w:vertAlign w:val="subscript"/>
        </w:rPr>
        <w:t>10</w:t>
      </w:r>
      <w:r w:rsidRPr="00811EB7">
        <w:rPr>
          <w:rFonts w:ascii="Times New Roman" w:hAnsi="Times New Roman" w:cs="Times New Roman"/>
          <w:noProof/>
          <w:sz w:val="24"/>
          <w:szCs w:val="24"/>
        </w:rPr>
        <w:t xml:space="preserve"> mass concentrations were measured using Thermo Fischer Scientific Model 5014i Beta Monitors installed at Continuous Ambient Air Quality Monitoring Station (CAAQMS) inside the IISER Mohali campus.  </w:t>
      </w:r>
      <w:r w:rsidRPr="00811EB7">
        <w:rPr>
          <w:rFonts w:ascii="Times New Roman" w:hAnsi="Times New Roman" w:cs="Times New Roman"/>
          <w:bCs/>
          <w:noProof/>
          <w:sz w:val="24"/>
          <w:szCs w:val="24"/>
          <w:lang w:val="en-US"/>
        </w:rPr>
        <w:t>These monitors output PM mass concentrations in real time at one-minute intervals. The Minimum Detection Limit for both PM</w:t>
      </w:r>
      <w:r w:rsidRPr="00811EB7">
        <w:rPr>
          <w:rFonts w:ascii="Times New Roman" w:hAnsi="Times New Roman" w:cs="Times New Roman"/>
          <w:bCs/>
          <w:noProof/>
          <w:sz w:val="24"/>
          <w:szCs w:val="24"/>
          <w:vertAlign w:val="subscript"/>
          <w:lang w:val="en-US"/>
        </w:rPr>
        <w:t>10</w:t>
      </w:r>
      <w:r w:rsidRPr="00811EB7">
        <w:rPr>
          <w:rFonts w:ascii="Times New Roman" w:hAnsi="Times New Roman" w:cs="Times New Roman"/>
          <w:bCs/>
          <w:noProof/>
          <w:sz w:val="24"/>
          <w:szCs w:val="24"/>
          <w:lang w:val="en-US"/>
        </w:rPr>
        <w:t xml:space="preserve"> and PM</w:t>
      </w:r>
      <w:r w:rsidRPr="00811EB7">
        <w:rPr>
          <w:rFonts w:ascii="Times New Roman" w:hAnsi="Times New Roman" w:cs="Times New Roman"/>
          <w:bCs/>
          <w:noProof/>
          <w:sz w:val="24"/>
          <w:szCs w:val="24"/>
          <w:vertAlign w:val="subscript"/>
          <w:lang w:val="en-US"/>
        </w:rPr>
        <w:t xml:space="preserve">2.5 </w:t>
      </w:r>
      <w:r w:rsidRPr="00811EB7">
        <w:rPr>
          <w:rFonts w:ascii="Times New Roman" w:hAnsi="Times New Roman" w:cs="Times New Roman"/>
          <w:bCs/>
          <w:noProof/>
          <w:sz w:val="24"/>
          <w:szCs w:val="24"/>
          <w:lang w:val="en-US"/>
        </w:rPr>
        <w:t xml:space="preserve">analyzers is &lt; 4 </w:t>
      </w:r>
      <w:r w:rsidRPr="00811EB7">
        <w:rPr>
          <w:rFonts w:ascii="Times New Roman" w:hAnsi="Times New Roman" w:cs="Times New Roman"/>
          <w:bCs/>
          <w:noProof/>
          <w:sz w:val="24"/>
          <w:szCs w:val="24"/>
        </w:rPr>
        <w:t>µg/m</w:t>
      </w:r>
      <w:r w:rsidRPr="00811EB7">
        <w:rPr>
          <w:rFonts w:ascii="Times New Roman" w:hAnsi="Times New Roman" w:cs="Times New Roman"/>
          <w:bCs/>
          <w:noProof/>
          <w:sz w:val="24"/>
          <w:szCs w:val="24"/>
          <w:vertAlign w:val="superscript"/>
        </w:rPr>
        <w:t>3</w:t>
      </w:r>
      <w:r w:rsidRPr="00811EB7">
        <w:rPr>
          <w:rFonts w:ascii="Times New Roman" w:hAnsi="Times New Roman" w:cs="Times New Roman"/>
          <w:bCs/>
          <w:noProof/>
          <w:sz w:val="24"/>
          <w:szCs w:val="24"/>
        </w:rPr>
        <w:t>. These monitors work on the principle of beta attenuation for measuring ambient PM</w:t>
      </w:r>
      <w:r w:rsidRPr="00811EB7">
        <w:rPr>
          <w:rFonts w:ascii="Times New Roman" w:hAnsi="Times New Roman" w:cs="Times New Roman"/>
          <w:bCs/>
          <w:noProof/>
          <w:sz w:val="24"/>
          <w:szCs w:val="24"/>
          <w:vertAlign w:val="subscript"/>
        </w:rPr>
        <w:t>2.5</w:t>
      </w:r>
      <w:r w:rsidRPr="00811EB7">
        <w:rPr>
          <w:rFonts w:ascii="Times New Roman" w:hAnsi="Times New Roman" w:cs="Times New Roman"/>
          <w:bCs/>
          <w:noProof/>
          <w:sz w:val="24"/>
          <w:szCs w:val="24"/>
        </w:rPr>
        <w:t xml:space="preserve"> and PM</w:t>
      </w:r>
      <w:r w:rsidRPr="00811EB7">
        <w:rPr>
          <w:rFonts w:ascii="Times New Roman" w:hAnsi="Times New Roman" w:cs="Times New Roman"/>
          <w:bCs/>
          <w:noProof/>
          <w:sz w:val="24"/>
          <w:szCs w:val="24"/>
          <w:vertAlign w:val="subscript"/>
        </w:rPr>
        <w:t>10</w:t>
      </w:r>
      <w:r w:rsidRPr="00811EB7">
        <w:rPr>
          <w:rFonts w:ascii="Times New Roman" w:hAnsi="Times New Roman" w:cs="Times New Roman"/>
          <w:bCs/>
          <w:noProof/>
          <w:sz w:val="24"/>
          <w:szCs w:val="24"/>
        </w:rPr>
        <w:t xml:space="preserve"> and uses Carbon-14 (C-14) as a source of beta rays. Ambient air is sucked in through the (10 micron) inlet at a sample flow rate of 16.7 L/min. As the ambient particulate continuously gets deposited onto a sample spot on the quartz fibre filter tape, it is simultaneously measured by the attenuation of the beta rays. In this model configuration, PM sample collection area is located between C-14 source and the proportional counter. Unlike in case of old beta attenuation monitors, this setup eliminates the need to move the filter spot from sample position to detector position for determining zero and mass concentrations. Additionally, it also corrects for the background interference of natural Radon (Rn-222) gas. This is achieved using a discrimination technique in which the count rate due to airborne natural activity is measured and the observed correction is then applied to the gross particulate count rate. This leads to better sensitivity at lower particulate concentrations. During the study period, span calibration was performed for both </w:t>
      </w:r>
      <w:r w:rsidRPr="00811EB7">
        <w:rPr>
          <w:rFonts w:ascii="Times New Roman" w:hAnsi="Times New Roman" w:cs="Times New Roman"/>
          <w:bCs/>
          <w:noProof/>
          <w:sz w:val="24"/>
          <w:szCs w:val="24"/>
          <w:lang w:val="en-US"/>
        </w:rPr>
        <w:t>PM</w:t>
      </w:r>
      <w:r w:rsidRPr="00811EB7">
        <w:rPr>
          <w:rFonts w:ascii="Times New Roman" w:hAnsi="Times New Roman" w:cs="Times New Roman"/>
          <w:bCs/>
          <w:noProof/>
          <w:sz w:val="24"/>
          <w:szCs w:val="24"/>
          <w:vertAlign w:val="subscript"/>
          <w:lang w:val="en-US"/>
        </w:rPr>
        <w:t>10</w:t>
      </w:r>
      <w:r w:rsidRPr="00811EB7">
        <w:rPr>
          <w:rFonts w:ascii="Times New Roman" w:hAnsi="Times New Roman" w:cs="Times New Roman"/>
          <w:bCs/>
          <w:noProof/>
          <w:sz w:val="24"/>
          <w:szCs w:val="24"/>
          <w:lang w:val="en-US"/>
        </w:rPr>
        <w:t xml:space="preserve"> and PM</w:t>
      </w:r>
      <w:r w:rsidRPr="00811EB7">
        <w:rPr>
          <w:rFonts w:ascii="Times New Roman" w:hAnsi="Times New Roman" w:cs="Times New Roman"/>
          <w:bCs/>
          <w:noProof/>
          <w:sz w:val="24"/>
          <w:szCs w:val="24"/>
          <w:vertAlign w:val="subscript"/>
          <w:lang w:val="en-US"/>
        </w:rPr>
        <w:t>2.5</w:t>
      </w:r>
      <w:r w:rsidRPr="00811EB7">
        <w:rPr>
          <w:rFonts w:ascii="Times New Roman" w:hAnsi="Times New Roman" w:cs="Times New Roman"/>
          <w:bCs/>
          <w:noProof/>
          <w:sz w:val="24"/>
          <w:szCs w:val="24"/>
          <w:lang w:val="en-US"/>
        </w:rPr>
        <w:t xml:space="preserve"> analyzers on 21 may. </w:t>
      </w:r>
      <w:r w:rsidRPr="00811EB7">
        <w:rPr>
          <w:rFonts w:ascii="Times New Roman" w:hAnsi="Times New Roman" w:cs="Times New Roman"/>
          <w:bCs/>
          <w:noProof/>
          <w:sz w:val="24"/>
          <w:szCs w:val="24"/>
        </w:rPr>
        <w:t xml:space="preserve">Span calibration involved setting the mass coefficient value done via automatic </w:t>
      </w:r>
      <w:r w:rsidRPr="00811EB7">
        <w:rPr>
          <w:rFonts w:ascii="Times New Roman" w:hAnsi="Times New Roman" w:cs="Times New Roman"/>
          <w:bCs/>
          <w:noProof/>
          <w:sz w:val="24"/>
          <w:szCs w:val="24"/>
        </w:rPr>
        <w:lastRenderedPageBreak/>
        <w:t>mass calibration method and executed using different foil sets (e.g., 1328 µg).</w:t>
      </w:r>
      <w:r w:rsidRPr="00811EB7">
        <w:rPr>
          <w:rFonts w:ascii="Times New Roman" w:hAnsi="Times New Roman" w:cs="Times New Roman"/>
          <w:noProof/>
          <w:sz w:val="24"/>
          <w:szCs w:val="24"/>
        </w:rPr>
        <w:t xml:space="preserve">Meteorological parameters like wind speed (WS), wind direction (WD), temperature (T) and relative humidity (RH) were recorded at a weather station (Met One Instruments, Inc.) installed right above the CAAQMS at about 20m above ground level. </w:t>
      </w:r>
    </w:p>
    <w:p w14:paraId="14E489D9" w14:textId="77777777" w:rsidR="00811EB7" w:rsidRPr="00811EB7" w:rsidRDefault="00811EB7" w:rsidP="00811EB7">
      <w:pPr>
        <w:spacing w:line="360" w:lineRule="auto"/>
        <w:jc w:val="both"/>
        <w:rPr>
          <w:rFonts w:ascii="Times New Roman" w:hAnsi="Times New Roman" w:cs="Times New Roman"/>
          <w:noProof/>
          <w:sz w:val="24"/>
          <w:szCs w:val="24"/>
        </w:rPr>
      </w:pPr>
      <w:r w:rsidRPr="00811EB7">
        <w:rPr>
          <w:rFonts w:ascii="Times New Roman" w:hAnsi="Times New Roman" w:cs="Times New Roman"/>
          <w:noProof/>
          <w:sz w:val="24"/>
          <w:szCs w:val="24"/>
        </w:rPr>
        <w:t>For VOCs measurements, a proton transfer reaction quadrupole mass spectrometer (PTR-MS) (HS Model 11-07HS-088, Ionicon Analytik Gesellschaft) deployed at IISER-Mohali Atmospheric Chemistry Facility was used to gather the VOC concentration data matrix for different species in the summer of 2012. Briefly, as per the internal working of the instrument, VOCs with a proton affinity greater than water is chemically ionized via proton transfer with the reagent hydronium (H</w:t>
      </w:r>
      <w:r w:rsidRPr="00811EB7">
        <w:rPr>
          <w:rFonts w:ascii="Times New Roman" w:hAnsi="Times New Roman" w:cs="Times New Roman"/>
          <w:noProof/>
          <w:sz w:val="24"/>
          <w:szCs w:val="24"/>
          <w:vertAlign w:val="subscript"/>
        </w:rPr>
        <w:t>3</w:t>
      </w:r>
      <w:r w:rsidRPr="00811EB7">
        <w:rPr>
          <w:rFonts w:ascii="Times New Roman" w:hAnsi="Times New Roman" w:cs="Times New Roman"/>
          <w:noProof/>
          <w:sz w:val="24"/>
          <w:szCs w:val="24"/>
        </w:rPr>
        <w:t>O</w:t>
      </w:r>
      <w:r w:rsidRPr="00811EB7">
        <w:rPr>
          <w:rFonts w:ascii="Times New Roman" w:hAnsi="Times New Roman" w:cs="Times New Roman"/>
          <w:noProof/>
          <w:sz w:val="24"/>
          <w:szCs w:val="24"/>
          <w:vertAlign w:val="superscript"/>
        </w:rPr>
        <w:t>+</w:t>
      </w:r>
      <w:r w:rsidRPr="00811EB7">
        <w:rPr>
          <w:rFonts w:ascii="Times New Roman" w:hAnsi="Times New Roman" w:cs="Times New Roman"/>
          <w:noProof/>
          <w:sz w:val="24"/>
          <w:szCs w:val="24"/>
        </w:rPr>
        <w:t>) ions, after which the products are separated using a quadrupole mass spectrometer based on their m/z ratio and detected by a secondary electron multiplier in the end.All details about VOC-m/z identification, measurement techniques employed for online trace-level detection of VOCs  can be found elsewhere (Lindinger et al., 1998).</w:t>
      </w:r>
    </w:p>
    <w:p w14:paraId="1E890939" w14:textId="77777777" w:rsidR="00811EB7" w:rsidRPr="00811EB7" w:rsidRDefault="00811EB7" w:rsidP="00811EB7">
      <w:pPr>
        <w:spacing w:line="360" w:lineRule="auto"/>
        <w:jc w:val="both"/>
        <w:rPr>
          <w:rFonts w:ascii="Times New Roman" w:hAnsi="Times New Roman" w:cs="Times New Roman"/>
          <w:bCs/>
          <w:noProof/>
          <w:sz w:val="24"/>
          <w:szCs w:val="24"/>
        </w:rPr>
      </w:pPr>
      <w:r w:rsidRPr="00811EB7">
        <w:rPr>
          <w:rFonts w:ascii="Times New Roman" w:hAnsi="Times New Roman" w:cs="Times New Roman"/>
          <w:bCs/>
          <w:noProof/>
          <w:sz w:val="24"/>
          <w:szCs w:val="24"/>
          <w:lang w:val="en-US"/>
        </w:rPr>
        <w:t xml:space="preserve">For the ambient concentration data matrix comprising of VOCs and PM data, real-time online measurements of VOCs were taken using PTR-MS. Ambient air was continuously sampled through the Teflon inlet line connected to a filter in front. </w:t>
      </w:r>
      <w:r w:rsidRPr="00811EB7">
        <w:rPr>
          <w:rFonts w:ascii="Times New Roman" w:hAnsi="Times New Roman" w:cs="Times New Roman"/>
          <w:bCs/>
          <w:noProof/>
          <w:sz w:val="24"/>
          <w:szCs w:val="24"/>
        </w:rPr>
        <w:t>The instrument operational specifications were 2.2mbar pressure, 333K temperature, 600V voltage, that maintained an E/N ratio of ~135 Townsend in the drift tube.</w:t>
      </w:r>
    </w:p>
    <w:p w14:paraId="0A339CD0" w14:textId="77777777" w:rsidR="00811EB7" w:rsidRPr="00811EB7" w:rsidRDefault="00811EB7" w:rsidP="00811EB7">
      <w:pPr>
        <w:spacing w:line="360" w:lineRule="auto"/>
        <w:jc w:val="both"/>
        <w:rPr>
          <w:rFonts w:ascii="Times New Roman" w:hAnsi="Times New Roman" w:cs="Times New Roman"/>
          <w:bCs/>
          <w:noProof/>
          <w:sz w:val="24"/>
          <w:szCs w:val="24"/>
          <w:lang w:val="en-US"/>
        </w:rPr>
      </w:pPr>
      <w:r w:rsidRPr="00811EB7">
        <w:rPr>
          <w:rFonts w:ascii="Times New Roman" w:hAnsi="Times New Roman" w:cs="Times New Roman"/>
          <w:bCs/>
          <w:noProof/>
          <w:sz w:val="24"/>
          <w:szCs w:val="24"/>
          <w:lang w:val="en-US"/>
        </w:rPr>
        <w:t xml:space="preserve">QA/QC protocol and technical details pertaining to the VOCs measurements with PTR-MS are as follows: </w:t>
      </w:r>
      <w:r w:rsidRPr="00811EB7">
        <w:rPr>
          <w:rFonts w:ascii="Times New Roman" w:hAnsi="Times New Roman" w:cs="Times New Roman"/>
          <w:bCs/>
          <w:noProof/>
          <w:sz w:val="24"/>
          <w:szCs w:val="24"/>
        </w:rPr>
        <w:t xml:space="preserve">The present study quantified 32 VOC species using PTR-MS. These included 12 experimentally calibrated masses namely methanol (m/z–33), acetonitrile (m/z–42),  acetaldehyde (m/z–45), acetone (m/z–59), isoprene (m/z–69), benzene (m/z–79), toluene (m/z–93), sum of C-8 aromatics (m/z–107), sum of C-9 aromatics (m/z–121), methyl vinyl ketone (m/z–71), methyl ethyl ketone (m/z–73), monoterpenes (m/z–137) and remaining constituted theoretically calibrated masses. The calibrations were performed using custom ordered gas standards from Apel Reimer Environmental Inc., USA and </w:t>
      </w:r>
      <w:r w:rsidRPr="00811EB7">
        <w:rPr>
          <w:rFonts w:ascii="Times New Roman" w:hAnsi="Times New Roman" w:cs="Times New Roman"/>
          <w:bCs/>
          <w:noProof/>
          <w:sz w:val="24"/>
          <w:szCs w:val="24"/>
          <w:lang w:val="en-US"/>
        </w:rPr>
        <w:t>a gas calibration unit.</w:t>
      </w:r>
    </w:p>
    <w:p w14:paraId="79138783" w14:textId="77777777" w:rsidR="00811EB7" w:rsidRPr="00811EB7" w:rsidRDefault="00811EB7" w:rsidP="00811EB7">
      <w:pPr>
        <w:spacing w:line="360" w:lineRule="auto"/>
        <w:jc w:val="both"/>
        <w:rPr>
          <w:rFonts w:ascii="Times New Roman" w:hAnsi="Times New Roman" w:cs="Times New Roman"/>
          <w:bCs/>
          <w:noProof/>
          <w:sz w:val="24"/>
          <w:szCs w:val="24"/>
        </w:rPr>
      </w:pPr>
      <w:r w:rsidRPr="00811EB7">
        <w:rPr>
          <w:rFonts w:ascii="Times New Roman" w:hAnsi="Times New Roman" w:cs="Times New Roman"/>
          <w:bCs/>
          <w:noProof/>
          <w:sz w:val="24"/>
          <w:szCs w:val="24"/>
        </w:rPr>
        <w:t>Total measurement uncertainty was calculated by taking the root mean square of the accuracy error, precision error for each compound and the flow uncertainties. The VOC gas standards with accuracy error of 5-6 %, 2</w:t>
      </w:r>
      <w:r w:rsidRPr="00811EB7">
        <w:rPr>
          <w:rFonts w:ascii="Times New Roman" w:hAnsi="Times New Roman" w:cs="Times New Roman" w:hint="eastAsia"/>
          <w:bCs/>
          <w:noProof/>
          <w:sz w:val="24"/>
          <w:szCs w:val="24"/>
        </w:rPr>
        <w:t>σ</w:t>
      </w:r>
      <w:r w:rsidRPr="00811EB7">
        <w:rPr>
          <w:rFonts w:ascii="Times New Roman" w:hAnsi="Times New Roman" w:cs="Times New Roman"/>
          <w:bCs/>
          <w:noProof/>
          <w:sz w:val="24"/>
          <w:szCs w:val="24"/>
        </w:rPr>
        <w:t xml:space="preserve"> precision error associated with each compound measurement and two mass flow controllers each with 2% flow uncertainty </w:t>
      </w:r>
      <w:r w:rsidRPr="00811EB7">
        <w:rPr>
          <w:rFonts w:ascii="Times New Roman" w:hAnsi="Times New Roman" w:cs="Times New Roman"/>
          <w:bCs/>
          <w:noProof/>
          <w:sz w:val="24"/>
          <w:szCs w:val="24"/>
        </w:rPr>
        <w:lastRenderedPageBreak/>
        <w:t>contributed to the total uncertainties. Detection limit was defined as the 2</w:t>
      </w:r>
      <w:r w:rsidRPr="00811EB7">
        <w:rPr>
          <w:rFonts w:ascii="Times New Roman" w:hAnsi="Times New Roman" w:cs="Times New Roman" w:hint="eastAsia"/>
          <w:bCs/>
          <w:noProof/>
          <w:sz w:val="24"/>
          <w:szCs w:val="24"/>
        </w:rPr>
        <w:t>σ</w:t>
      </w:r>
      <w:r w:rsidRPr="00811EB7">
        <w:rPr>
          <w:rFonts w:ascii="Times New Roman" w:hAnsi="Times New Roman" w:cs="Times New Roman"/>
          <w:bCs/>
          <w:noProof/>
          <w:sz w:val="24"/>
          <w:szCs w:val="24"/>
        </w:rPr>
        <w:t xml:space="preserve"> noise while passing the zero air divided by sensitivity.</w:t>
      </w:r>
    </w:p>
    <w:p w14:paraId="7D42B661" w14:textId="77777777" w:rsidR="00811EB7" w:rsidRPr="00811EB7" w:rsidRDefault="00811EB7" w:rsidP="00811EB7">
      <w:pPr>
        <w:spacing w:line="360" w:lineRule="auto"/>
        <w:jc w:val="both"/>
        <w:rPr>
          <w:rFonts w:ascii="Times New Roman" w:hAnsi="Times New Roman" w:cs="Times New Roman"/>
          <w:bCs/>
          <w:noProof/>
          <w:sz w:val="24"/>
          <w:szCs w:val="24"/>
        </w:rPr>
      </w:pPr>
      <w:r w:rsidRPr="00811EB7">
        <w:rPr>
          <w:rFonts w:ascii="Times New Roman" w:hAnsi="Times New Roman" w:cs="Times New Roman"/>
          <w:bCs/>
          <w:noProof/>
          <w:sz w:val="24"/>
          <w:szCs w:val="24"/>
        </w:rPr>
        <w:t xml:space="preserve">As a part of data quality assurance and quality control measures, regular calibrations were carried out at different RH and three ‘full’ span multi-point </w:t>
      </w:r>
      <w:r w:rsidRPr="00811EB7">
        <w:rPr>
          <w:rFonts w:ascii="Times New Roman" w:hAnsi="Times New Roman" w:cs="Times New Roman"/>
          <w:bCs/>
          <w:noProof/>
          <w:sz w:val="24"/>
          <w:szCs w:val="24"/>
          <w:lang w:val="en-US"/>
        </w:rPr>
        <w:t xml:space="preserve">calibrations were performed in the dynamic range of 1-20 ppbv during May 2012. For background correction </w:t>
      </w:r>
      <w:r w:rsidRPr="00811EB7">
        <w:rPr>
          <w:rFonts w:ascii="Times New Roman" w:hAnsi="Times New Roman" w:cs="Times New Roman"/>
          <w:bCs/>
          <w:noProof/>
          <w:sz w:val="24"/>
          <w:szCs w:val="24"/>
          <w:lang w:val="en-GB"/>
        </w:rPr>
        <w:t>at different m/z channels</w:t>
      </w:r>
      <w:r w:rsidRPr="00811EB7">
        <w:rPr>
          <w:rFonts w:ascii="Times New Roman" w:hAnsi="Times New Roman" w:cs="Times New Roman"/>
          <w:bCs/>
          <w:noProof/>
          <w:sz w:val="24"/>
          <w:szCs w:val="24"/>
          <w:lang w:val="en-US"/>
        </w:rPr>
        <w:t>, zero air measurements were performed</w:t>
      </w:r>
      <w:r w:rsidRPr="00811EB7">
        <w:rPr>
          <w:rFonts w:ascii="Times New Roman" w:hAnsi="Times New Roman" w:cs="Times New Roman"/>
          <w:bCs/>
          <w:noProof/>
          <w:sz w:val="24"/>
          <w:szCs w:val="24"/>
          <w:lang w:val="en-GB"/>
        </w:rPr>
        <w:t xml:space="preserve">, </w:t>
      </w:r>
      <w:r w:rsidRPr="00811EB7">
        <w:rPr>
          <w:rFonts w:ascii="Times New Roman" w:hAnsi="Times New Roman" w:cs="Times New Roman"/>
          <w:bCs/>
          <w:noProof/>
          <w:sz w:val="24"/>
          <w:szCs w:val="24"/>
          <w:lang w:val="en-US"/>
        </w:rPr>
        <w:t>with the help of zero air cylinders (</w:t>
      </w:r>
      <w:r w:rsidRPr="00811EB7">
        <w:rPr>
          <w:rFonts w:ascii="Times New Roman" w:hAnsi="Times New Roman" w:cs="Times New Roman"/>
          <w:noProof/>
          <w:sz w:val="24"/>
          <w:szCs w:val="24"/>
          <w:lang w:val="en-US"/>
        </w:rPr>
        <w:t>Sigma Gases and Services Ltd, New Delhi, India</w:t>
      </w:r>
      <w:r w:rsidRPr="00811EB7">
        <w:rPr>
          <w:rFonts w:ascii="Times New Roman" w:hAnsi="Times New Roman" w:cs="Times New Roman"/>
          <w:bCs/>
          <w:noProof/>
          <w:sz w:val="24"/>
          <w:szCs w:val="24"/>
          <w:lang w:val="en-US"/>
        </w:rPr>
        <w:t>) at more frequent time points. Limit of detection (</w:t>
      </w:r>
      <w:r w:rsidRPr="00811EB7">
        <w:rPr>
          <w:rFonts w:ascii="Times New Roman" w:hAnsi="Times New Roman" w:cs="Times New Roman"/>
          <w:bCs/>
          <w:noProof/>
          <w:sz w:val="24"/>
          <w:szCs w:val="24"/>
        </w:rPr>
        <w:t>µg/m</w:t>
      </w:r>
      <w:r w:rsidRPr="00811EB7">
        <w:rPr>
          <w:rFonts w:ascii="Times New Roman" w:hAnsi="Times New Roman" w:cs="Times New Roman"/>
          <w:bCs/>
          <w:noProof/>
          <w:sz w:val="24"/>
          <w:szCs w:val="24"/>
          <w:vertAlign w:val="superscript"/>
        </w:rPr>
        <w:t>3</w:t>
      </w:r>
      <w:r w:rsidRPr="00811EB7">
        <w:rPr>
          <w:rFonts w:ascii="Times New Roman" w:hAnsi="Times New Roman" w:cs="Times New Roman"/>
          <w:bCs/>
          <w:noProof/>
          <w:sz w:val="24"/>
          <w:szCs w:val="24"/>
        </w:rPr>
        <w:t>)</w:t>
      </w:r>
      <w:r w:rsidRPr="00811EB7">
        <w:rPr>
          <w:rFonts w:ascii="Times New Roman" w:hAnsi="Times New Roman" w:cs="Times New Roman"/>
          <w:bCs/>
          <w:noProof/>
          <w:sz w:val="24"/>
          <w:szCs w:val="24"/>
          <w:lang w:val="en-US"/>
        </w:rPr>
        <w:t xml:space="preserve">, precision error (%), total measurement uncertainty (%), sensitivities </w:t>
      </w:r>
      <w:r w:rsidRPr="00811EB7">
        <w:rPr>
          <w:rFonts w:ascii="Times New Roman" w:hAnsi="Times New Roman" w:cs="Times New Roman"/>
          <w:noProof/>
          <w:sz w:val="24"/>
          <w:szCs w:val="24"/>
        </w:rPr>
        <w:t>(ncps/ppb)</w:t>
      </w:r>
      <w:r w:rsidRPr="00811EB7">
        <w:rPr>
          <w:rFonts w:ascii="Times New Roman" w:hAnsi="Times New Roman" w:cs="Times New Roman"/>
          <w:b/>
          <w:bCs/>
          <w:noProof/>
          <w:sz w:val="24"/>
          <w:szCs w:val="24"/>
        </w:rPr>
        <w:t xml:space="preserve"> </w:t>
      </w:r>
      <w:r w:rsidRPr="00811EB7">
        <w:rPr>
          <w:rFonts w:ascii="Times New Roman" w:hAnsi="Times New Roman" w:cs="Times New Roman"/>
          <w:bCs/>
          <w:noProof/>
          <w:sz w:val="24"/>
          <w:szCs w:val="24"/>
          <w:lang w:val="en-US"/>
        </w:rPr>
        <w:t xml:space="preserve">of the abovementioned VOCs were: </w:t>
      </w:r>
      <w:r w:rsidRPr="00811EB7">
        <w:rPr>
          <w:rFonts w:ascii="Times New Roman" w:hAnsi="Times New Roman" w:cs="Times New Roman"/>
          <w:bCs/>
          <w:noProof/>
          <w:sz w:val="24"/>
          <w:szCs w:val="24"/>
        </w:rPr>
        <w:t>methanol (0.514, 8.09%, 10.7%, 10.1), acetonitrile (0.065, 4.42%, 8.01%, 20.7),  acetaldehyde (0.125, 4.32%, 7.96%, 20.2), acetone (0.109, 4.12%, 7.90%, 22.8), isoprene (0.278, 6.01%, 9.03%, 9.0), benzene (0.196, 4.83%, 8.30%, 13.5), toluene (0.261, 4.28%, 7.94%, 14.3), sum of C-8 aromatics (0.501, 6.13%, 9.14%, 13.8), sum of C-9 aromatics (0.453, 9.47%, 11.2%, 11.2), methyl vinyl ketone (1.102, 7.57%, 10.4%, 16.0), methyl ethyl ketone (1.133, 4.37%, 8.04%, 15.9), monoterpenes (2.141, 13.1%, 14.3%, 7.9). It can be noticed that most of the compounds had total uncertainty less than 10% and never exceeded 15% for all the compounds.</w:t>
      </w:r>
    </w:p>
    <w:p w14:paraId="1B224B73" w14:textId="7239BD4A" w:rsidR="00F331F1" w:rsidRPr="00E66FEA" w:rsidRDefault="00811EB7" w:rsidP="00A86726">
      <w:pPr>
        <w:spacing w:line="360" w:lineRule="auto"/>
        <w:jc w:val="both"/>
        <w:rPr>
          <w:rFonts w:ascii="Times New Roman" w:hAnsi="Times New Roman" w:cs="Times New Roman"/>
          <w:noProof/>
          <w:sz w:val="24"/>
          <w:szCs w:val="24"/>
        </w:rPr>
      </w:pPr>
      <w:r w:rsidRPr="00811EB7">
        <w:rPr>
          <w:rFonts w:ascii="Times New Roman" w:hAnsi="Times New Roman" w:cs="Times New Roman"/>
          <w:bCs/>
          <w:noProof/>
          <w:sz w:val="24"/>
          <w:szCs w:val="24"/>
        </w:rPr>
        <w:t>Apart from the measurement of ambient VOCs, this study uses a variety of VOC source samples like garbage burning, wheat residue burning, traffic emissions (Chandra et al., 2017; Sharma et al., 2019) for validation of PMF factor outputs. The offline collection of these individual VOC source samples, the adopted experimental procedure, their storage stability and the QA/QC protocol has been described in greater details elsewhere (Chandra et al., 2017).</w:t>
      </w:r>
      <w:r w:rsidR="00F331F1" w:rsidRPr="00E66FEA">
        <w:rPr>
          <w:rFonts w:ascii="Times New Roman" w:hAnsi="Times New Roman" w:cs="Times New Roman"/>
          <w:sz w:val="24"/>
          <w:szCs w:val="24"/>
        </w:rPr>
        <w:t xml:space="preserve"> </w:t>
      </w:r>
    </w:p>
    <w:p w14:paraId="0DB54975" w14:textId="6714CD37" w:rsidR="00F331F1" w:rsidRPr="00E66FEA" w:rsidRDefault="00F331F1" w:rsidP="00E66FEA">
      <w:pPr>
        <w:pStyle w:val="ListParagraph"/>
        <w:keepNext/>
        <w:keepLines/>
        <w:numPr>
          <w:ilvl w:val="2"/>
          <w:numId w:val="25"/>
        </w:numPr>
        <w:spacing w:before="40" w:after="0" w:line="360" w:lineRule="auto"/>
        <w:outlineLvl w:val="2"/>
        <w:rPr>
          <w:rFonts w:ascii="Times New Roman" w:eastAsiaTheme="majorEastAsia" w:hAnsi="Times New Roman" w:cs="Times New Roman"/>
          <w:b/>
          <w:noProof/>
          <w:sz w:val="24"/>
          <w:szCs w:val="24"/>
        </w:rPr>
      </w:pPr>
      <w:bookmarkStart w:id="71" w:name="_Toc146809864"/>
      <w:r w:rsidRPr="00E66FEA">
        <w:rPr>
          <w:rFonts w:ascii="Times New Roman" w:eastAsiaTheme="majorEastAsia" w:hAnsi="Times New Roman" w:cs="Times New Roman"/>
          <w:b/>
          <w:noProof/>
          <w:sz w:val="24"/>
          <w:szCs w:val="24"/>
        </w:rPr>
        <w:t>US EPA PMF 5.0 Model and Implementation</w:t>
      </w:r>
      <w:bookmarkEnd w:id="71"/>
    </w:p>
    <w:p w14:paraId="410492C7" w14:textId="48161C62" w:rsidR="00A86726" w:rsidRPr="00A86726" w:rsidRDefault="00A86726" w:rsidP="00A86726">
      <w:pPr>
        <w:spacing w:line="360" w:lineRule="auto"/>
        <w:jc w:val="both"/>
        <w:rPr>
          <w:rFonts w:ascii="Times New Roman" w:hAnsi="Times New Roman" w:cs="Times New Roman"/>
          <w:noProof/>
          <w:sz w:val="24"/>
          <w:szCs w:val="24"/>
        </w:rPr>
      </w:pPr>
      <w:r w:rsidRPr="00A86726">
        <w:rPr>
          <w:rFonts w:ascii="Times New Roman" w:hAnsi="Times New Roman" w:cs="Times New Roman"/>
          <w:noProof/>
          <w:sz w:val="24"/>
          <w:szCs w:val="24"/>
        </w:rPr>
        <w:t>The study carried out in this paper utilises US EPA PMF 5.0 receptor modelling technique for source apportionment of ambient PM</w:t>
      </w:r>
      <w:r w:rsidRPr="00A86726">
        <w:rPr>
          <w:rFonts w:ascii="Times New Roman" w:hAnsi="Times New Roman" w:cs="Times New Roman"/>
          <w:noProof/>
          <w:sz w:val="24"/>
          <w:szCs w:val="24"/>
          <w:vertAlign w:val="subscript"/>
        </w:rPr>
        <w:t>2.5</w:t>
      </w:r>
      <w:r w:rsidRPr="00A86726">
        <w:rPr>
          <w:rFonts w:ascii="Times New Roman" w:hAnsi="Times New Roman" w:cs="Times New Roman"/>
          <w:noProof/>
          <w:sz w:val="24"/>
          <w:szCs w:val="24"/>
        </w:rPr>
        <w:t xml:space="preserve"> and PM</w:t>
      </w:r>
      <w:r w:rsidRPr="00A86726">
        <w:rPr>
          <w:rFonts w:ascii="Times New Roman" w:hAnsi="Times New Roman" w:cs="Times New Roman"/>
          <w:noProof/>
          <w:sz w:val="24"/>
          <w:szCs w:val="24"/>
          <w:vertAlign w:val="subscript"/>
        </w:rPr>
        <w:t>10</w:t>
      </w:r>
      <w:r w:rsidRPr="00A86726">
        <w:rPr>
          <w:rFonts w:ascii="Times New Roman" w:hAnsi="Times New Roman" w:cs="Times New Roman"/>
          <w:noProof/>
          <w:sz w:val="24"/>
          <w:szCs w:val="24"/>
        </w:rPr>
        <w:t xml:space="preserve"> measured at IISER Mohali. PMF model apportions the air pollutants dataset and derives source profiles out of it along with uncertainty estimates. PMF is a multivariate factor analysis tool that splits the data matrix (</w:t>
      </w:r>
      <m:oMath>
        <m:sSub>
          <m:sSubPr>
            <m:ctrlPr>
              <w:rPr>
                <w:rFonts w:ascii="Cambria Math" w:hAnsi="Cambria Math" w:cs="Times New Roman"/>
                <w:i/>
                <w:noProof/>
                <w:sz w:val="24"/>
                <w:szCs w:val="24"/>
              </w:rPr>
            </m:ctrlPr>
          </m:sSubPr>
          <m:e>
            <m:r>
              <w:rPr>
                <w:rFonts w:ascii="Cambria Math" w:hAnsi="Cambria Math" w:cs="Times New Roman"/>
                <w:noProof/>
                <w:sz w:val="24"/>
                <w:szCs w:val="24"/>
              </w:rPr>
              <m:t>x</m:t>
            </m:r>
          </m:e>
          <m:sub>
            <m:r>
              <w:rPr>
                <w:rFonts w:ascii="Cambria Math" w:hAnsi="Cambria Math" w:cs="Times New Roman"/>
                <w:noProof/>
                <w:sz w:val="24"/>
                <w:szCs w:val="24"/>
              </w:rPr>
              <m:t>ij</m:t>
            </m:r>
          </m:sub>
        </m:sSub>
      </m:oMath>
      <w:r w:rsidRPr="00A86726">
        <w:rPr>
          <w:rFonts w:ascii="Times New Roman" w:hAnsi="Times New Roman" w:cs="Times New Roman"/>
          <w:noProof/>
          <w:sz w:val="24"/>
          <w:szCs w:val="24"/>
        </w:rPr>
        <w:t xml:space="preserve">) of </w:t>
      </w:r>
      <w:r w:rsidRPr="00A86726">
        <w:rPr>
          <w:rFonts w:ascii="Times New Roman" w:hAnsi="Times New Roman" w:cs="Times New Roman"/>
          <w:i/>
          <w:iCs/>
          <w:noProof/>
          <w:sz w:val="24"/>
          <w:szCs w:val="24"/>
        </w:rPr>
        <w:t xml:space="preserve">i </w:t>
      </w:r>
      <w:r w:rsidRPr="00A86726">
        <w:rPr>
          <w:rFonts w:ascii="Times New Roman" w:hAnsi="Times New Roman" w:cs="Times New Roman"/>
          <w:noProof/>
          <w:sz w:val="24"/>
          <w:szCs w:val="24"/>
        </w:rPr>
        <w:t xml:space="preserve">by </w:t>
      </w:r>
      <w:r w:rsidRPr="00A86726">
        <w:rPr>
          <w:rFonts w:ascii="Times New Roman" w:hAnsi="Times New Roman" w:cs="Times New Roman"/>
          <w:i/>
          <w:iCs/>
          <w:noProof/>
          <w:sz w:val="24"/>
          <w:szCs w:val="24"/>
        </w:rPr>
        <w:t>j</w:t>
      </w:r>
      <w:r w:rsidRPr="00A86726">
        <w:rPr>
          <w:rFonts w:ascii="Times New Roman" w:hAnsi="Times New Roman" w:cs="Times New Roman"/>
          <w:noProof/>
          <w:sz w:val="24"/>
          <w:szCs w:val="24"/>
        </w:rPr>
        <w:t xml:space="preserve"> dimensions, into two matrices - </w:t>
      </w:r>
      <w:r w:rsidRPr="00A86726">
        <w:rPr>
          <w:rFonts w:ascii="Times New Roman" w:hAnsi="Times New Roman" w:cs="Times New Roman"/>
          <w:i/>
          <w:iCs/>
          <w:noProof/>
          <w:sz w:val="24"/>
          <w:szCs w:val="24"/>
        </w:rPr>
        <w:t xml:space="preserve">i </w:t>
      </w:r>
      <w:r w:rsidRPr="00A86726">
        <w:rPr>
          <w:rFonts w:ascii="Times New Roman" w:hAnsi="Times New Roman" w:cs="Times New Roman"/>
          <w:noProof/>
          <w:sz w:val="24"/>
          <w:szCs w:val="24"/>
        </w:rPr>
        <w:t xml:space="preserve">by </w:t>
      </w:r>
      <w:r w:rsidRPr="00A86726">
        <w:rPr>
          <w:rFonts w:ascii="Times New Roman" w:hAnsi="Times New Roman" w:cs="Times New Roman"/>
          <w:i/>
          <w:iCs/>
          <w:noProof/>
          <w:sz w:val="24"/>
          <w:szCs w:val="24"/>
        </w:rPr>
        <w:t xml:space="preserve">k </w:t>
      </w:r>
      <w:r w:rsidRPr="00A86726">
        <w:rPr>
          <w:rFonts w:ascii="Times New Roman" w:hAnsi="Times New Roman" w:cs="Times New Roman"/>
          <w:noProof/>
          <w:sz w:val="24"/>
          <w:szCs w:val="24"/>
        </w:rPr>
        <w:t>matrix of factor contributions (</w:t>
      </w:r>
      <m:oMath>
        <m:sSub>
          <m:sSubPr>
            <m:ctrlPr>
              <w:rPr>
                <w:rFonts w:ascii="Cambria Math" w:hAnsi="Cambria Math" w:cs="Times New Roman"/>
                <w:i/>
                <w:noProof/>
                <w:sz w:val="24"/>
                <w:szCs w:val="24"/>
              </w:rPr>
            </m:ctrlPr>
          </m:sSubPr>
          <m:e>
            <m:r>
              <w:rPr>
                <w:rFonts w:ascii="Cambria Math" w:hAnsi="Cambria Math" w:cs="Times New Roman"/>
                <w:noProof/>
                <w:sz w:val="24"/>
                <w:szCs w:val="24"/>
              </w:rPr>
              <m:t>g</m:t>
            </m:r>
          </m:e>
          <m:sub>
            <m:r>
              <w:rPr>
                <w:rFonts w:ascii="Cambria Math" w:hAnsi="Cambria Math" w:cs="Times New Roman"/>
                <w:noProof/>
                <w:sz w:val="24"/>
                <w:szCs w:val="24"/>
              </w:rPr>
              <m:t>ik</m:t>
            </m:r>
          </m:sub>
        </m:sSub>
      </m:oMath>
      <w:r w:rsidRPr="00A86726">
        <w:rPr>
          <w:rFonts w:ascii="Times New Roman" w:hAnsi="Times New Roman" w:cs="Times New Roman"/>
          <w:noProof/>
          <w:sz w:val="24"/>
          <w:szCs w:val="24"/>
        </w:rPr>
        <w:t xml:space="preserve">) and </w:t>
      </w:r>
      <w:r w:rsidRPr="00A86726">
        <w:rPr>
          <w:rFonts w:ascii="Times New Roman" w:hAnsi="Times New Roman" w:cs="Times New Roman"/>
          <w:i/>
          <w:iCs/>
          <w:noProof/>
          <w:sz w:val="24"/>
          <w:szCs w:val="24"/>
        </w:rPr>
        <w:t xml:space="preserve">k </w:t>
      </w:r>
      <w:r w:rsidRPr="00A86726">
        <w:rPr>
          <w:rFonts w:ascii="Times New Roman" w:hAnsi="Times New Roman" w:cs="Times New Roman"/>
          <w:noProof/>
          <w:sz w:val="24"/>
          <w:szCs w:val="24"/>
        </w:rPr>
        <w:t xml:space="preserve">by </w:t>
      </w:r>
      <w:r w:rsidRPr="00A86726">
        <w:rPr>
          <w:rFonts w:ascii="Times New Roman" w:hAnsi="Times New Roman" w:cs="Times New Roman"/>
          <w:i/>
          <w:iCs/>
          <w:noProof/>
          <w:sz w:val="24"/>
          <w:szCs w:val="24"/>
        </w:rPr>
        <w:t xml:space="preserve">j </w:t>
      </w:r>
      <w:r w:rsidRPr="00A86726">
        <w:rPr>
          <w:rFonts w:ascii="Times New Roman" w:hAnsi="Times New Roman" w:cs="Times New Roman"/>
          <w:noProof/>
          <w:sz w:val="24"/>
          <w:szCs w:val="24"/>
        </w:rPr>
        <w:t>matrix of factor profiles (</w:t>
      </w:r>
      <m:oMath>
        <m:sSub>
          <m:sSubPr>
            <m:ctrlPr>
              <w:rPr>
                <w:rFonts w:ascii="Cambria Math" w:hAnsi="Cambria Math" w:cs="Times New Roman"/>
                <w:i/>
                <w:noProof/>
                <w:sz w:val="24"/>
                <w:szCs w:val="24"/>
              </w:rPr>
            </m:ctrlPr>
          </m:sSubPr>
          <m:e>
            <m:r>
              <w:rPr>
                <w:rFonts w:ascii="Cambria Math" w:hAnsi="Cambria Math" w:cs="Times New Roman"/>
                <w:noProof/>
                <w:sz w:val="24"/>
                <w:szCs w:val="24"/>
              </w:rPr>
              <m:t>f</m:t>
            </m:r>
          </m:e>
          <m:sub>
            <m:r>
              <w:rPr>
                <w:rFonts w:ascii="Cambria Math" w:hAnsi="Cambria Math" w:cs="Times New Roman"/>
                <w:noProof/>
                <w:sz w:val="24"/>
                <w:szCs w:val="24"/>
              </w:rPr>
              <m:t>kj</m:t>
            </m:r>
          </m:sub>
        </m:sSub>
      </m:oMath>
      <w:r w:rsidRPr="00A86726">
        <w:rPr>
          <w:rFonts w:ascii="Times New Roman" w:hAnsi="Times New Roman" w:cs="Times New Roman"/>
          <w:noProof/>
          <w:sz w:val="24"/>
          <w:szCs w:val="24"/>
        </w:rPr>
        <w:t>) plus the residual matrix (</w:t>
      </w:r>
      <m:oMath>
        <m:sSub>
          <m:sSubPr>
            <m:ctrlPr>
              <w:rPr>
                <w:rFonts w:ascii="Cambria Math" w:hAnsi="Cambria Math" w:cs="Times New Roman"/>
                <w:i/>
                <w:noProof/>
                <w:sz w:val="24"/>
                <w:szCs w:val="24"/>
              </w:rPr>
            </m:ctrlPr>
          </m:sSubPr>
          <m:e>
            <m:r>
              <w:rPr>
                <w:rFonts w:ascii="Cambria Math" w:hAnsi="Cambria Math" w:cs="Times New Roman"/>
                <w:noProof/>
                <w:sz w:val="24"/>
                <w:szCs w:val="24"/>
              </w:rPr>
              <m:t>e</m:t>
            </m:r>
          </m:e>
          <m:sub>
            <m:r>
              <w:rPr>
                <w:rFonts w:ascii="Cambria Math" w:hAnsi="Cambria Math" w:cs="Times New Roman"/>
                <w:noProof/>
                <w:sz w:val="24"/>
                <w:szCs w:val="24"/>
              </w:rPr>
              <m:t>ij</m:t>
            </m:r>
          </m:sub>
        </m:sSub>
      </m:oMath>
      <w:r w:rsidRPr="00A86726">
        <w:rPr>
          <w:rFonts w:ascii="Times New Roman" w:hAnsi="Times New Roman" w:cs="Times New Roman"/>
          <w:noProof/>
          <w:sz w:val="24"/>
          <w:szCs w:val="24"/>
        </w:rPr>
        <w:t xml:space="preserve">) (Equation 1) (Paatero &amp; Tapper, 1994; Paatero, 1997). The factor contributions and factor profiles are established by solving the bilinear model (X = GF + E) from the </w:t>
      </w:r>
      <w:r w:rsidRPr="00A86726">
        <w:rPr>
          <w:rFonts w:ascii="Times New Roman" w:hAnsi="Times New Roman" w:cs="Times New Roman"/>
          <w:noProof/>
          <w:sz w:val="24"/>
          <w:szCs w:val="24"/>
        </w:rPr>
        <w:lastRenderedPageBreak/>
        <w:t xml:space="preserve">existing intrinsic variability in the dataset with a chemical mass balance scheme as its basis. The bilinear model assumes that the measured (ambient) dataset can be represented as a linear combination of the factor profiles and factor contributions where factor profiles remain constant and factor contributions vary over time. </w:t>
      </w:r>
      <m:oMath>
        <m:sSub>
          <m:sSubPr>
            <m:ctrlPr>
              <w:rPr>
                <w:rFonts w:ascii="Cambria Math" w:hAnsi="Cambria Math" w:cs="Times New Roman"/>
                <w:i/>
                <w:noProof/>
                <w:sz w:val="24"/>
                <w:szCs w:val="24"/>
              </w:rPr>
            </m:ctrlPr>
          </m:sSubPr>
          <m:e>
            <m:r>
              <w:rPr>
                <w:rFonts w:ascii="Cambria Math" w:hAnsi="Cambria Math" w:cs="Times New Roman"/>
                <w:noProof/>
                <w:sz w:val="24"/>
                <w:szCs w:val="24"/>
              </w:rPr>
              <m:t>x</m:t>
            </m:r>
          </m:e>
          <m:sub>
            <m:r>
              <w:rPr>
                <w:rFonts w:ascii="Cambria Math" w:hAnsi="Cambria Math" w:cs="Times New Roman"/>
                <w:noProof/>
                <w:sz w:val="24"/>
                <w:szCs w:val="24"/>
              </w:rPr>
              <m:t>ij</m:t>
            </m:r>
          </m:sub>
        </m:sSub>
        <m:r>
          <w:rPr>
            <w:rFonts w:ascii="Cambria Math" w:hAnsi="Cambria Math" w:cs="Times New Roman"/>
            <w:noProof/>
            <w:sz w:val="24"/>
            <w:szCs w:val="24"/>
          </w:rPr>
          <m:t xml:space="preserve">= </m:t>
        </m:r>
        <m:nary>
          <m:naryPr>
            <m:chr m:val="∑"/>
            <m:limLoc m:val="undOvr"/>
            <m:ctrlPr>
              <w:rPr>
                <w:rFonts w:ascii="Cambria Math" w:hAnsi="Cambria Math" w:cs="Times New Roman"/>
                <w:i/>
                <w:noProof/>
                <w:sz w:val="24"/>
                <w:szCs w:val="24"/>
              </w:rPr>
            </m:ctrlPr>
          </m:naryPr>
          <m:sub>
            <m:r>
              <w:rPr>
                <w:rFonts w:ascii="Cambria Math" w:hAnsi="Cambria Math" w:cs="Times New Roman"/>
                <w:noProof/>
                <w:sz w:val="24"/>
                <w:szCs w:val="24"/>
              </w:rPr>
              <m:t>k=1</m:t>
            </m:r>
          </m:sub>
          <m:sup>
            <m:r>
              <w:rPr>
                <w:rFonts w:ascii="Cambria Math" w:hAnsi="Cambria Math" w:cs="Times New Roman"/>
                <w:noProof/>
                <w:sz w:val="24"/>
                <w:szCs w:val="24"/>
              </w:rPr>
              <m:t>p</m:t>
            </m:r>
          </m:sup>
          <m:e>
            <m:sSub>
              <m:sSubPr>
                <m:ctrlPr>
                  <w:rPr>
                    <w:rFonts w:ascii="Cambria Math" w:hAnsi="Cambria Math" w:cs="Times New Roman"/>
                    <w:i/>
                    <w:noProof/>
                    <w:sz w:val="24"/>
                    <w:szCs w:val="24"/>
                  </w:rPr>
                </m:ctrlPr>
              </m:sSubPr>
              <m:e>
                <m:r>
                  <w:rPr>
                    <w:rFonts w:ascii="Cambria Math" w:hAnsi="Cambria Math" w:cs="Times New Roman"/>
                    <w:noProof/>
                    <w:sz w:val="24"/>
                    <w:szCs w:val="24"/>
                  </w:rPr>
                  <m:t>g</m:t>
                </m:r>
              </m:e>
              <m:sub>
                <m:r>
                  <w:rPr>
                    <w:rFonts w:ascii="Cambria Math" w:hAnsi="Cambria Math" w:cs="Times New Roman"/>
                    <w:noProof/>
                    <w:sz w:val="24"/>
                    <w:szCs w:val="24"/>
                  </w:rPr>
                  <m:t>ik</m:t>
                </m:r>
              </m:sub>
            </m:sSub>
          </m:e>
        </m:nary>
        <m:sSub>
          <m:sSubPr>
            <m:ctrlPr>
              <w:rPr>
                <w:rFonts w:ascii="Cambria Math" w:hAnsi="Cambria Math" w:cs="Times New Roman"/>
                <w:i/>
                <w:noProof/>
                <w:sz w:val="24"/>
                <w:szCs w:val="24"/>
              </w:rPr>
            </m:ctrlPr>
          </m:sSubPr>
          <m:e>
            <m:r>
              <w:rPr>
                <w:rFonts w:ascii="Cambria Math" w:hAnsi="Cambria Math" w:cs="Times New Roman"/>
                <w:noProof/>
                <w:sz w:val="24"/>
                <w:szCs w:val="24"/>
              </w:rPr>
              <m:t>f</m:t>
            </m:r>
          </m:e>
          <m:sub>
            <m:r>
              <w:rPr>
                <w:rFonts w:ascii="Cambria Math" w:hAnsi="Cambria Math" w:cs="Times New Roman"/>
                <w:noProof/>
                <w:sz w:val="24"/>
                <w:szCs w:val="24"/>
              </w:rPr>
              <m:t>kj</m:t>
            </m:r>
          </m:sub>
        </m:sSub>
        <m:r>
          <w:rPr>
            <w:rFonts w:ascii="Cambria Math" w:hAnsi="Cambria Math" w:cs="Times New Roman"/>
            <w:noProof/>
            <w:sz w:val="24"/>
            <w:szCs w:val="24"/>
          </w:rPr>
          <m:t xml:space="preserve">+ </m:t>
        </m:r>
        <m:sSub>
          <m:sSubPr>
            <m:ctrlPr>
              <w:rPr>
                <w:rFonts w:ascii="Cambria Math" w:hAnsi="Cambria Math" w:cs="Times New Roman"/>
                <w:i/>
                <w:noProof/>
                <w:sz w:val="24"/>
                <w:szCs w:val="24"/>
              </w:rPr>
            </m:ctrlPr>
          </m:sSubPr>
          <m:e>
            <m:r>
              <w:rPr>
                <w:rFonts w:ascii="Cambria Math" w:hAnsi="Cambria Math" w:cs="Times New Roman"/>
                <w:noProof/>
                <w:sz w:val="24"/>
                <w:szCs w:val="24"/>
              </w:rPr>
              <m:t>e</m:t>
            </m:r>
          </m:e>
          <m:sub>
            <m:r>
              <w:rPr>
                <w:rFonts w:ascii="Cambria Math" w:hAnsi="Cambria Math" w:cs="Times New Roman"/>
                <w:noProof/>
                <w:sz w:val="24"/>
                <w:szCs w:val="24"/>
              </w:rPr>
              <m:t>ij</m:t>
            </m:r>
          </m:sub>
        </m:sSub>
      </m:oMath>
      <w:r w:rsidRPr="00A86726">
        <w:rPr>
          <w:rFonts w:ascii="Times New Roman" w:hAnsi="Times New Roman" w:cs="Times New Roman"/>
          <w:noProof/>
          <w:sz w:val="24"/>
          <w:szCs w:val="24"/>
        </w:rPr>
        <w:t xml:space="preserve"> (1); </w:t>
      </w:r>
      <w:r w:rsidRPr="00A86726">
        <w:rPr>
          <w:rFonts w:ascii="Times New Roman" w:hAnsi="Times New Roman" w:cs="Times New Roman"/>
          <w:i/>
          <w:iCs/>
          <w:noProof/>
          <w:sz w:val="24"/>
          <w:szCs w:val="24"/>
        </w:rPr>
        <w:t>i</w:t>
      </w:r>
      <w:r w:rsidRPr="00A86726">
        <w:rPr>
          <w:rFonts w:ascii="Times New Roman" w:hAnsi="Times New Roman" w:cs="Times New Roman"/>
          <w:noProof/>
          <w:sz w:val="24"/>
          <w:szCs w:val="24"/>
        </w:rPr>
        <w:t xml:space="preserve">, </w:t>
      </w:r>
      <w:r w:rsidRPr="00A86726">
        <w:rPr>
          <w:rFonts w:ascii="Times New Roman" w:hAnsi="Times New Roman" w:cs="Times New Roman"/>
          <w:i/>
          <w:iCs/>
          <w:noProof/>
          <w:sz w:val="24"/>
          <w:szCs w:val="24"/>
        </w:rPr>
        <w:t>p</w:t>
      </w:r>
      <w:r w:rsidRPr="00A86726">
        <w:rPr>
          <w:rFonts w:ascii="Times New Roman" w:hAnsi="Times New Roman" w:cs="Times New Roman"/>
          <w:noProof/>
          <w:sz w:val="24"/>
          <w:szCs w:val="24"/>
        </w:rPr>
        <w:t xml:space="preserve">, </w:t>
      </w:r>
      <w:r w:rsidRPr="00A86726">
        <w:rPr>
          <w:rFonts w:ascii="Times New Roman" w:hAnsi="Times New Roman" w:cs="Times New Roman"/>
          <w:i/>
          <w:iCs/>
          <w:noProof/>
          <w:sz w:val="24"/>
          <w:szCs w:val="24"/>
        </w:rPr>
        <w:t xml:space="preserve">j </w:t>
      </w:r>
      <w:r w:rsidRPr="00A86726">
        <w:rPr>
          <w:rFonts w:ascii="Times New Roman" w:hAnsi="Times New Roman" w:cs="Times New Roman"/>
          <w:noProof/>
          <w:sz w:val="24"/>
          <w:szCs w:val="24"/>
        </w:rPr>
        <w:t>here denotes the user fed number of samples, a number of factors and number of chemical species respectively in the model.</w:t>
      </w:r>
    </w:p>
    <w:p w14:paraId="677FB262" w14:textId="77777777" w:rsidR="00A86726" w:rsidRPr="00A86726" w:rsidRDefault="00A86726" w:rsidP="00A86726">
      <w:pPr>
        <w:spacing w:line="360" w:lineRule="auto"/>
        <w:jc w:val="both"/>
        <w:rPr>
          <w:rFonts w:ascii="Times New Roman" w:hAnsi="Times New Roman" w:cs="Times New Roman"/>
          <w:noProof/>
          <w:sz w:val="24"/>
          <w:szCs w:val="24"/>
        </w:rPr>
      </w:pPr>
      <w:r w:rsidRPr="00A86726">
        <w:rPr>
          <w:rFonts w:ascii="Times New Roman" w:hAnsi="Times New Roman" w:cs="Times New Roman"/>
          <w:noProof/>
          <w:sz w:val="24"/>
          <w:szCs w:val="24"/>
        </w:rPr>
        <w:t>PMF model analyses the ambient dataset to identify the sources of air pollution at the measurement site by exploring different model factors that reasonably agree with the prevailing atmospheric conditions of the environment and actual sources. Determining suitable number of factors (</w:t>
      </w:r>
      <w:r w:rsidRPr="00A86726">
        <w:rPr>
          <w:rFonts w:ascii="Times New Roman" w:hAnsi="Times New Roman" w:cs="Times New Roman"/>
          <w:i/>
          <w:iCs/>
          <w:noProof/>
          <w:sz w:val="24"/>
          <w:szCs w:val="24"/>
        </w:rPr>
        <w:t>p</w:t>
      </w:r>
      <w:r w:rsidRPr="00A86726">
        <w:rPr>
          <w:rFonts w:ascii="Times New Roman" w:hAnsi="Times New Roman" w:cs="Times New Roman"/>
          <w:noProof/>
          <w:sz w:val="24"/>
          <w:szCs w:val="24"/>
        </w:rPr>
        <w:t xml:space="preserve">) in PMF modelling is an extremely crucial step that lays down the foundation for rest of the analysis. With a certain value of </w:t>
      </w:r>
      <w:r w:rsidRPr="00A86726">
        <w:rPr>
          <w:rFonts w:ascii="Times New Roman" w:hAnsi="Times New Roman" w:cs="Times New Roman"/>
          <w:i/>
          <w:iCs/>
          <w:noProof/>
          <w:sz w:val="24"/>
          <w:szCs w:val="24"/>
        </w:rPr>
        <w:t>p</w:t>
      </w:r>
      <w:r w:rsidRPr="00A86726">
        <w:rPr>
          <w:rFonts w:ascii="Times New Roman" w:hAnsi="Times New Roman" w:cs="Times New Roman"/>
          <w:noProof/>
          <w:sz w:val="24"/>
          <w:szCs w:val="24"/>
        </w:rPr>
        <w:t xml:space="preserve">, the PMF modelling process finds out non-negative values of </w:t>
      </w:r>
      <w:r w:rsidRPr="00A86726">
        <w:rPr>
          <w:rFonts w:ascii="Times New Roman" w:hAnsi="Times New Roman" w:cs="Times New Roman"/>
          <w:i/>
          <w:iCs/>
          <w:noProof/>
          <w:sz w:val="24"/>
          <w:szCs w:val="24"/>
        </w:rPr>
        <w:t>g</w:t>
      </w:r>
      <w:r w:rsidRPr="00A86726">
        <w:rPr>
          <w:rFonts w:ascii="Times New Roman" w:hAnsi="Times New Roman" w:cs="Times New Roman"/>
          <w:i/>
          <w:iCs/>
          <w:noProof/>
          <w:sz w:val="24"/>
          <w:szCs w:val="24"/>
          <w:vertAlign w:val="subscript"/>
        </w:rPr>
        <w:t>ik</w:t>
      </w:r>
      <w:r w:rsidRPr="00A86726">
        <w:rPr>
          <w:rFonts w:ascii="Times New Roman" w:hAnsi="Times New Roman" w:cs="Times New Roman"/>
          <w:noProof/>
          <w:sz w:val="24"/>
          <w:szCs w:val="24"/>
        </w:rPr>
        <w:t xml:space="preserve">, </w:t>
      </w:r>
      <w:r w:rsidRPr="00A86726">
        <w:rPr>
          <w:rFonts w:ascii="Times New Roman" w:hAnsi="Times New Roman" w:cs="Times New Roman"/>
          <w:i/>
          <w:iCs/>
          <w:noProof/>
          <w:sz w:val="24"/>
          <w:szCs w:val="24"/>
        </w:rPr>
        <w:t>f</w:t>
      </w:r>
      <w:r w:rsidRPr="00A86726">
        <w:rPr>
          <w:rFonts w:ascii="Times New Roman" w:hAnsi="Times New Roman" w:cs="Times New Roman"/>
          <w:i/>
          <w:iCs/>
          <w:noProof/>
          <w:sz w:val="24"/>
          <w:szCs w:val="24"/>
          <w:vertAlign w:val="subscript"/>
        </w:rPr>
        <w:t>kj</w:t>
      </w:r>
      <w:r w:rsidRPr="00A86726">
        <w:rPr>
          <w:rFonts w:ascii="Times New Roman" w:hAnsi="Times New Roman" w:cs="Times New Roman"/>
          <w:noProof/>
          <w:sz w:val="24"/>
          <w:szCs w:val="24"/>
        </w:rPr>
        <w:t xml:space="preserve"> and </w:t>
      </w:r>
      <w:r w:rsidRPr="00A86726">
        <w:rPr>
          <w:rFonts w:ascii="Times New Roman" w:hAnsi="Times New Roman" w:cs="Times New Roman"/>
          <w:i/>
          <w:iCs/>
          <w:noProof/>
          <w:sz w:val="24"/>
          <w:szCs w:val="24"/>
        </w:rPr>
        <w:t>p</w:t>
      </w:r>
      <w:r w:rsidRPr="00A86726">
        <w:rPr>
          <w:rFonts w:ascii="Times New Roman" w:hAnsi="Times New Roman" w:cs="Times New Roman"/>
          <w:noProof/>
          <w:sz w:val="24"/>
          <w:szCs w:val="24"/>
        </w:rPr>
        <w:t xml:space="preserve"> that best reproduce </w:t>
      </w:r>
      <w:r w:rsidRPr="00A86726">
        <w:rPr>
          <w:rFonts w:ascii="Times New Roman" w:hAnsi="Times New Roman" w:cs="Times New Roman"/>
          <w:i/>
          <w:iCs/>
          <w:noProof/>
          <w:sz w:val="24"/>
          <w:szCs w:val="24"/>
        </w:rPr>
        <w:t>x</w:t>
      </w:r>
      <w:r w:rsidRPr="00A86726">
        <w:rPr>
          <w:rFonts w:ascii="Times New Roman" w:hAnsi="Times New Roman" w:cs="Times New Roman"/>
          <w:i/>
          <w:iCs/>
          <w:noProof/>
          <w:sz w:val="24"/>
          <w:szCs w:val="24"/>
          <w:vertAlign w:val="subscript"/>
        </w:rPr>
        <w:t>ij</w:t>
      </w:r>
      <w:r w:rsidRPr="00A86726">
        <w:rPr>
          <w:rFonts w:ascii="Times New Roman" w:hAnsi="Times New Roman" w:cs="Times New Roman"/>
          <w:noProof/>
          <w:sz w:val="24"/>
          <w:szCs w:val="24"/>
          <w:vertAlign w:val="subscript"/>
        </w:rPr>
        <w:t xml:space="preserve"> </w:t>
      </w:r>
      <w:r w:rsidRPr="00A86726">
        <w:rPr>
          <w:rFonts w:ascii="Times New Roman" w:hAnsi="Times New Roman" w:cs="Times New Roman"/>
          <w:noProof/>
          <w:sz w:val="24"/>
          <w:szCs w:val="24"/>
        </w:rPr>
        <w:t xml:space="preserve">with minimum error value in the modelled outcome.  The values of </w:t>
      </w:r>
      <w:r w:rsidRPr="00A86726">
        <w:rPr>
          <w:rFonts w:ascii="Times New Roman" w:hAnsi="Times New Roman" w:cs="Times New Roman"/>
          <w:i/>
          <w:iCs/>
          <w:noProof/>
          <w:sz w:val="24"/>
          <w:szCs w:val="24"/>
        </w:rPr>
        <w:t>g</w:t>
      </w:r>
      <w:r w:rsidRPr="00A86726">
        <w:rPr>
          <w:rFonts w:ascii="Times New Roman" w:hAnsi="Times New Roman" w:cs="Times New Roman"/>
          <w:i/>
          <w:iCs/>
          <w:noProof/>
          <w:sz w:val="24"/>
          <w:szCs w:val="24"/>
          <w:vertAlign w:val="subscript"/>
        </w:rPr>
        <w:t>ik</w:t>
      </w:r>
      <w:r w:rsidRPr="00A86726">
        <w:rPr>
          <w:rFonts w:ascii="Times New Roman" w:hAnsi="Times New Roman" w:cs="Times New Roman"/>
          <w:noProof/>
          <w:sz w:val="24"/>
          <w:szCs w:val="24"/>
        </w:rPr>
        <w:t xml:space="preserve"> and </w:t>
      </w:r>
      <w:r w:rsidRPr="00A86726">
        <w:rPr>
          <w:rFonts w:ascii="Times New Roman" w:hAnsi="Times New Roman" w:cs="Times New Roman"/>
          <w:i/>
          <w:iCs/>
          <w:noProof/>
          <w:sz w:val="24"/>
          <w:szCs w:val="24"/>
        </w:rPr>
        <w:t>f</w:t>
      </w:r>
      <w:r w:rsidRPr="00A86726">
        <w:rPr>
          <w:rFonts w:ascii="Times New Roman" w:hAnsi="Times New Roman" w:cs="Times New Roman"/>
          <w:i/>
          <w:iCs/>
          <w:noProof/>
          <w:sz w:val="24"/>
          <w:szCs w:val="24"/>
          <w:vertAlign w:val="subscript"/>
        </w:rPr>
        <w:t>kj</w:t>
      </w:r>
      <w:r w:rsidRPr="00A86726">
        <w:rPr>
          <w:rFonts w:ascii="Times New Roman" w:hAnsi="Times New Roman" w:cs="Times New Roman"/>
          <w:noProof/>
          <w:sz w:val="24"/>
          <w:szCs w:val="24"/>
        </w:rPr>
        <w:t xml:space="preserve"> are adjusted until a minimum value for a given </w:t>
      </w:r>
      <w:r w:rsidRPr="00A86726">
        <w:rPr>
          <w:rFonts w:ascii="Times New Roman" w:hAnsi="Times New Roman" w:cs="Times New Roman"/>
          <w:i/>
          <w:iCs/>
          <w:noProof/>
          <w:sz w:val="24"/>
          <w:szCs w:val="24"/>
        </w:rPr>
        <w:t>p</w:t>
      </w:r>
      <w:r w:rsidRPr="00A86726">
        <w:rPr>
          <w:rFonts w:ascii="Times New Roman" w:hAnsi="Times New Roman" w:cs="Times New Roman"/>
          <w:noProof/>
          <w:sz w:val="24"/>
          <w:szCs w:val="24"/>
        </w:rPr>
        <w:t xml:space="preserve"> is found i.e., the model follows n iterative minimization algorithm to obtain the set of two matrices with an already built-in non-negativity constraint. Q is the “goodness of fit” parameter and PMF solution minimizes Q based upon the uncertainties </w:t>
      </w:r>
      <w:r w:rsidRPr="00A86726">
        <w:rPr>
          <w:rFonts w:ascii="Times New Roman" w:hAnsi="Times New Roman" w:cs="Times New Roman"/>
          <w:i/>
          <w:iCs/>
          <w:noProof/>
          <w:sz w:val="24"/>
          <w:szCs w:val="24"/>
        </w:rPr>
        <w:t>u</w:t>
      </w:r>
      <w:r w:rsidRPr="00A86726">
        <w:rPr>
          <w:rFonts w:ascii="Times New Roman" w:hAnsi="Times New Roman" w:cs="Times New Roman"/>
          <w:i/>
          <w:iCs/>
          <w:noProof/>
          <w:sz w:val="24"/>
          <w:szCs w:val="24"/>
          <w:vertAlign w:val="subscript"/>
        </w:rPr>
        <w:t>ij</w:t>
      </w:r>
      <w:r w:rsidRPr="00A86726">
        <w:rPr>
          <w:rFonts w:ascii="Times New Roman" w:hAnsi="Times New Roman" w:cs="Times New Roman"/>
          <w:noProof/>
          <w:sz w:val="24"/>
          <w:szCs w:val="24"/>
        </w:rPr>
        <w:t xml:space="preserve"> associated to the data points (Equation 2). </w:t>
      </w:r>
    </w:p>
    <w:p w14:paraId="28EB4E7E" w14:textId="2FBB5D58" w:rsidR="00A86726" w:rsidRPr="00A86726" w:rsidRDefault="00A86726" w:rsidP="00A86726">
      <w:pPr>
        <w:spacing w:line="360" w:lineRule="auto"/>
        <w:jc w:val="both"/>
        <w:rPr>
          <w:rFonts w:ascii="Times New Roman" w:hAnsi="Times New Roman" w:cs="Times New Roman"/>
          <w:noProof/>
          <w:sz w:val="24"/>
          <w:szCs w:val="24"/>
        </w:rPr>
      </w:pPr>
      <m:oMath>
        <m:r>
          <w:rPr>
            <w:rFonts w:ascii="Cambria Math" w:hAnsi="Cambria Math" w:cs="Times New Roman"/>
            <w:noProof/>
            <w:sz w:val="24"/>
            <w:szCs w:val="24"/>
          </w:rPr>
          <m:t xml:space="preserve">Q= </m:t>
        </m:r>
        <m:nary>
          <m:naryPr>
            <m:chr m:val="∑"/>
            <m:limLoc m:val="undOvr"/>
            <m:ctrlPr>
              <w:rPr>
                <w:rFonts w:ascii="Cambria Math" w:hAnsi="Cambria Math" w:cs="Times New Roman"/>
                <w:i/>
                <w:noProof/>
                <w:sz w:val="24"/>
                <w:szCs w:val="24"/>
              </w:rPr>
            </m:ctrlPr>
          </m:naryPr>
          <m:sub>
            <m:r>
              <w:rPr>
                <w:rFonts w:ascii="Cambria Math" w:hAnsi="Cambria Math" w:cs="Times New Roman"/>
                <w:noProof/>
                <w:sz w:val="24"/>
                <w:szCs w:val="24"/>
              </w:rPr>
              <m:t>i=1</m:t>
            </m:r>
          </m:sub>
          <m:sup>
            <m:r>
              <w:rPr>
                <w:rFonts w:ascii="Cambria Math" w:hAnsi="Cambria Math" w:cs="Times New Roman"/>
                <w:noProof/>
                <w:sz w:val="24"/>
                <w:szCs w:val="24"/>
              </w:rPr>
              <m:t>n</m:t>
            </m:r>
          </m:sup>
          <m:e>
            <m:nary>
              <m:naryPr>
                <m:chr m:val="∑"/>
                <m:limLoc m:val="undOvr"/>
                <m:ctrlPr>
                  <w:rPr>
                    <w:rFonts w:ascii="Cambria Math" w:hAnsi="Cambria Math" w:cs="Times New Roman"/>
                    <w:i/>
                    <w:noProof/>
                    <w:sz w:val="24"/>
                    <w:szCs w:val="24"/>
                  </w:rPr>
                </m:ctrlPr>
              </m:naryPr>
              <m:sub>
                <m:r>
                  <w:rPr>
                    <w:rFonts w:ascii="Cambria Math" w:hAnsi="Cambria Math" w:cs="Times New Roman"/>
                    <w:noProof/>
                    <w:sz w:val="24"/>
                    <w:szCs w:val="24"/>
                  </w:rPr>
                  <m:t>j=1</m:t>
                </m:r>
              </m:sub>
              <m:sup>
                <m:r>
                  <w:rPr>
                    <w:rFonts w:ascii="Cambria Math" w:hAnsi="Cambria Math" w:cs="Times New Roman"/>
                    <w:noProof/>
                    <w:sz w:val="24"/>
                    <w:szCs w:val="24"/>
                  </w:rPr>
                  <m:t>m</m:t>
                </m:r>
              </m:sup>
              <m:e>
                <m:sSup>
                  <m:sSupPr>
                    <m:ctrlPr>
                      <w:rPr>
                        <w:rFonts w:ascii="Cambria Math" w:hAnsi="Cambria Math" w:cs="Times New Roman"/>
                        <w:i/>
                        <w:noProof/>
                        <w:sz w:val="24"/>
                        <w:szCs w:val="24"/>
                      </w:rPr>
                    </m:ctrlPr>
                  </m:sSupPr>
                  <m:e>
                    <m:r>
                      <w:rPr>
                        <w:rFonts w:ascii="Cambria Math" w:hAnsi="Cambria Math" w:cs="Times New Roman"/>
                        <w:noProof/>
                        <w:sz w:val="24"/>
                        <w:szCs w:val="24"/>
                      </w:rPr>
                      <m:t xml:space="preserve"> </m:t>
                    </m:r>
                    <m:d>
                      <m:dPr>
                        <m:ctrlPr>
                          <w:rPr>
                            <w:rFonts w:ascii="Cambria Math" w:hAnsi="Cambria Math" w:cs="Times New Roman"/>
                            <w:i/>
                            <w:noProof/>
                            <w:sz w:val="24"/>
                            <w:szCs w:val="24"/>
                          </w:rPr>
                        </m:ctrlPr>
                      </m:dPr>
                      <m:e>
                        <m:r>
                          <w:rPr>
                            <w:rFonts w:ascii="Cambria Math" w:hAnsi="Cambria Math" w:cs="Times New Roman"/>
                            <w:noProof/>
                            <w:sz w:val="24"/>
                            <w:szCs w:val="24"/>
                          </w:rPr>
                          <m:t xml:space="preserve">  </m:t>
                        </m:r>
                        <m:f>
                          <m:fPr>
                            <m:ctrlPr>
                              <w:rPr>
                                <w:rFonts w:ascii="Cambria Math" w:hAnsi="Cambria Math" w:cs="Times New Roman"/>
                                <w:i/>
                                <w:noProof/>
                                <w:sz w:val="24"/>
                                <w:szCs w:val="24"/>
                              </w:rPr>
                            </m:ctrlPr>
                          </m:fPr>
                          <m:num>
                            <m:sSub>
                              <m:sSubPr>
                                <m:ctrlPr>
                                  <w:rPr>
                                    <w:rFonts w:ascii="Cambria Math" w:hAnsi="Cambria Math" w:cs="Times New Roman"/>
                                    <w:i/>
                                    <w:noProof/>
                                    <w:sz w:val="24"/>
                                    <w:szCs w:val="24"/>
                                  </w:rPr>
                                </m:ctrlPr>
                              </m:sSubPr>
                              <m:e>
                                <m:r>
                                  <w:rPr>
                                    <w:rFonts w:ascii="Cambria Math" w:hAnsi="Cambria Math" w:cs="Times New Roman"/>
                                    <w:noProof/>
                                    <w:sz w:val="24"/>
                                    <w:szCs w:val="24"/>
                                  </w:rPr>
                                  <m:t>x</m:t>
                                </m:r>
                              </m:e>
                              <m:sub>
                                <m:r>
                                  <w:rPr>
                                    <w:rFonts w:ascii="Cambria Math" w:hAnsi="Cambria Math" w:cs="Times New Roman"/>
                                    <w:noProof/>
                                    <w:sz w:val="24"/>
                                    <w:szCs w:val="24"/>
                                  </w:rPr>
                                  <m:t>ij</m:t>
                                </m:r>
                              </m:sub>
                            </m:sSub>
                            <m:r>
                              <w:rPr>
                                <w:rFonts w:ascii="Cambria Math" w:hAnsi="Cambria Math" w:cs="Times New Roman"/>
                                <w:noProof/>
                                <w:sz w:val="24"/>
                                <w:szCs w:val="24"/>
                              </w:rPr>
                              <m:t xml:space="preserve">- </m:t>
                            </m:r>
                            <m:nary>
                              <m:naryPr>
                                <m:chr m:val="∑"/>
                                <m:limLoc m:val="undOvr"/>
                                <m:ctrlPr>
                                  <w:rPr>
                                    <w:rFonts w:ascii="Cambria Math" w:hAnsi="Cambria Math" w:cs="Times New Roman"/>
                                    <w:i/>
                                    <w:noProof/>
                                    <w:sz w:val="24"/>
                                    <w:szCs w:val="24"/>
                                  </w:rPr>
                                </m:ctrlPr>
                              </m:naryPr>
                              <m:sub>
                                <m:r>
                                  <w:rPr>
                                    <w:rFonts w:ascii="Cambria Math" w:hAnsi="Cambria Math" w:cs="Times New Roman"/>
                                    <w:noProof/>
                                    <w:sz w:val="24"/>
                                    <w:szCs w:val="24"/>
                                  </w:rPr>
                                  <m:t>k=1</m:t>
                                </m:r>
                              </m:sub>
                              <m:sup>
                                <m:r>
                                  <w:rPr>
                                    <w:rFonts w:ascii="Cambria Math" w:hAnsi="Cambria Math" w:cs="Times New Roman"/>
                                    <w:noProof/>
                                    <w:sz w:val="24"/>
                                    <w:szCs w:val="24"/>
                                  </w:rPr>
                                  <m:t>p</m:t>
                                </m:r>
                              </m:sup>
                              <m:e>
                                <m:sSub>
                                  <m:sSubPr>
                                    <m:ctrlPr>
                                      <w:rPr>
                                        <w:rFonts w:ascii="Cambria Math" w:hAnsi="Cambria Math" w:cs="Times New Roman"/>
                                        <w:i/>
                                        <w:noProof/>
                                        <w:sz w:val="24"/>
                                        <w:szCs w:val="24"/>
                                      </w:rPr>
                                    </m:ctrlPr>
                                  </m:sSubPr>
                                  <m:e>
                                    <m:r>
                                      <w:rPr>
                                        <w:rFonts w:ascii="Cambria Math" w:hAnsi="Cambria Math" w:cs="Times New Roman"/>
                                        <w:noProof/>
                                        <w:sz w:val="24"/>
                                        <w:szCs w:val="24"/>
                                      </w:rPr>
                                      <m:t>g</m:t>
                                    </m:r>
                                  </m:e>
                                  <m:sub>
                                    <m:r>
                                      <w:rPr>
                                        <w:rFonts w:ascii="Cambria Math" w:hAnsi="Cambria Math" w:cs="Times New Roman"/>
                                        <w:noProof/>
                                        <w:sz w:val="24"/>
                                        <w:szCs w:val="24"/>
                                      </w:rPr>
                                      <m:t>ik</m:t>
                                    </m:r>
                                  </m:sub>
                                </m:sSub>
                                <m:sSub>
                                  <m:sSubPr>
                                    <m:ctrlPr>
                                      <w:rPr>
                                        <w:rFonts w:ascii="Cambria Math" w:hAnsi="Cambria Math" w:cs="Times New Roman"/>
                                        <w:i/>
                                        <w:noProof/>
                                        <w:sz w:val="24"/>
                                        <w:szCs w:val="24"/>
                                      </w:rPr>
                                    </m:ctrlPr>
                                  </m:sSubPr>
                                  <m:e>
                                    <m:r>
                                      <w:rPr>
                                        <w:rFonts w:ascii="Cambria Math" w:hAnsi="Cambria Math" w:cs="Times New Roman"/>
                                        <w:noProof/>
                                        <w:sz w:val="24"/>
                                        <w:szCs w:val="24"/>
                                      </w:rPr>
                                      <m:t>f</m:t>
                                    </m:r>
                                  </m:e>
                                  <m:sub>
                                    <m:r>
                                      <w:rPr>
                                        <w:rFonts w:ascii="Cambria Math" w:hAnsi="Cambria Math" w:cs="Times New Roman"/>
                                        <w:noProof/>
                                        <w:sz w:val="24"/>
                                        <w:szCs w:val="24"/>
                                      </w:rPr>
                                      <m:t>kj</m:t>
                                    </m:r>
                                  </m:sub>
                                </m:sSub>
                              </m:e>
                            </m:nary>
                          </m:num>
                          <m:den>
                            <m:sSub>
                              <m:sSubPr>
                                <m:ctrlPr>
                                  <w:rPr>
                                    <w:rFonts w:ascii="Cambria Math" w:hAnsi="Cambria Math" w:cs="Times New Roman"/>
                                    <w:i/>
                                    <w:noProof/>
                                    <w:sz w:val="24"/>
                                    <w:szCs w:val="24"/>
                                  </w:rPr>
                                </m:ctrlPr>
                              </m:sSubPr>
                              <m:e>
                                <m:r>
                                  <w:rPr>
                                    <w:rFonts w:ascii="Cambria Math" w:hAnsi="Cambria Math" w:cs="Times New Roman"/>
                                    <w:noProof/>
                                    <w:sz w:val="24"/>
                                    <w:szCs w:val="24"/>
                                  </w:rPr>
                                  <m:t>u</m:t>
                                </m:r>
                              </m:e>
                              <m:sub>
                                <m:r>
                                  <w:rPr>
                                    <w:rFonts w:ascii="Cambria Math" w:hAnsi="Cambria Math" w:cs="Times New Roman"/>
                                    <w:noProof/>
                                    <w:sz w:val="24"/>
                                    <w:szCs w:val="24"/>
                                  </w:rPr>
                                  <m:t>ij</m:t>
                                </m:r>
                              </m:sub>
                            </m:sSub>
                          </m:den>
                        </m:f>
                        <m:r>
                          <w:rPr>
                            <w:rFonts w:ascii="Cambria Math" w:hAnsi="Cambria Math" w:cs="Times New Roman"/>
                            <w:noProof/>
                            <w:sz w:val="24"/>
                            <w:szCs w:val="24"/>
                          </w:rPr>
                          <m:t xml:space="preserve">  </m:t>
                        </m:r>
                      </m:e>
                    </m:d>
                  </m:e>
                  <m:sup>
                    <m:r>
                      <w:rPr>
                        <w:rFonts w:ascii="Cambria Math" w:hAnsi="Cambria Math" w:cs="Times New Roman"/>
                        <w:noProof/>
                        <w:sz w:val="24"/>
                        <w:szCs w:val="24"/>
                      </w:rPr>
                      <m:t>2</m:t>
                    </m:r>
                  </m:sup>
                </m:sSup>
              </m:e>
            </m:nary>
          </m:e>
        </m:nary>
        <m:r>
          <w:rPr>
            <w:rFonts w:ascii="Cambria Math" w:hAnsi="Cambria Math" w:cs="Times New Roman"/>
            <w:noProof/>
            <w:sz w:val="24"/>
            <w:szCs w:val="24"/>
          </w:rPr>
          <m:t xml:space="preserve"> </m:t>
        </m:r>
      </m:oMath>
      <w:r w:rsidRPr="00A86726">
        <w:rPr>
          <w:rFonts w:ascii="Times New Roman" w:hAnsi="Times New Roman" w:cs="Times New Roman"/>
          <w:noProof/>
          <w:sz w:val="24"/>
          <w:szCs w:val="24"/>
        </w:rPr>
        <w:t xml:space="preserve">(2); </w:t>
      </w:r>
      <w:r w:rsidRPr="00A86726">
        <w:rPr>
          <w:rFonts w:ascii="Times New Roman" w:hAnsi="Times New Roman" w:cs="Times New Roman"/>
          <w:i/>
          <w:iCs/>
          <w:noProof/>
          <w:sz w:val="24"/>
          <w:szCs w:val="24"/>
        </w:rPr>
        <w:t>u</w:t>
      </w:r>
      <w:r w:rsidRPr="00A86726">
        <w:rPr>
          <w:rFonts w:ascii="Times New Roman" w:hAnsi="Times New Roman" w:cs="Times New Roman"/>
          <w:i/>
          <w:iCs/>
          <w:noProof/>
          <w:sz w:val="24"/>
          <w:szCs w:val="24"/>
          <w:vertAlign w:val="subscript"/>
        </w:rPr>
        <w:t>ij</w:t>
      </w:r>
      <w:r w:rsidRPr="00A86726">
        <w:rPr>
          <w:rFonts w:ascii="Times New Roman" w:hAnsi="Times New Roman" w:cs="Times New Roman"/>
          <w:noProof/>
          <w:sz w:val="24"/>
          <w:szCs w:val="24"/>
        </w:rPr>
        <w:t xml:space="preserve"> is calculated using the species-specific detection limit and the error fraction provided by the user (Polissar et al., 1998).</w:t>
      </w:r>
    </w:p>
    <w:p w14:paraId="662EF909" w14:textId="77777777" w:rsidR="00A86726" w:rsidRPr="00A86726" w:rsidRDefault="00A86726" w:rsidP="00A86726">
      <w:pPr>
        <w:spacing w:line="360" w:lineRule="auto"/>
        <w:jc w:val="both"/>
        <w:rPr>
          <w:rFonts w:ascii="Times New Roman" w:hAnsi="Times New Roman" w:cs="Times New Roman"/>
          <w:noProof/>
          <w:sz w:val="24"/>
          <w:szCs w:val="24"/>
        </w:rPr>
      </w:pPr>
      <w:r w:rsidRPr="00A86726">
        <w:rPr>
          <w:rFonts w:ascii="Times New Roman" w:hAnsi="Times New Roman" w:cs="Times New Roman"/>
          <w:noProof/>
          <w:sz w:val="24"/>
          <w:szCs w:val="24"/>
        </w:rPr>
        <w:t xml:space="preserve">No a priori knowledge of chemical composition of source profiles at and around the receptor site, incorporation of variable uncertainties associated with the data points and non-negative </w:t>
      </w:r>
      <w:r w:rsidRPr="00A86726">
        <w:rPr>
          <w:rFonts w:ascii="Times New Roman" w:hAnsi="Times New Roman" w:cs="Times New Roman"/>
          <w:i/>
          <w:iCs/>
          <w:noProof/>
          <w:sz w:val="24"/>
          <w:szCs w:val="24"/>
        </w:rPr>
        <w:t>g</w:t>
      </w:r>
      <w:r w:rsidRPr="00A86726">
        <w:rPr>
          <w:rFonts w:ascii="Times New Roman" w:hAnsi="Times New Roman" w:cs="Times New Roman"/>
          <w:i/>
          <w:iCs/>
          <w:noProof/>
          <w:sz w:val="24"/>
          <w:szCs w:val="24"/>
          <w:vertAlign w:val="subscript"/>
        </w:rPr>
        <w:t>ik</w:t>
      </w:r>
      <w:r w:rsidRPr="00A86726">
        <w:rPr>
          <w:rFonts w:ascii="Times New Roman" w:hAnsi="Times New Roman" w:cs="Times New Roman"/>
          <w:noProof/>
          <w:sz w:val="24"/>
          <w:szCs w:val="24"/>
        </w:rPr>
        <w:t xml:space="preserve"> and </w:t>
      </w:r>
      <w:r w:rsidRPr="00A86726">
        <w:rPr>
          <w:rFonts w:ascii="Times New Roman" w:hAnsi="Times New Roman" w:cs="Times New Roman"/>
          <w:i/>
          <w:iCs/>
          <w:noProof/>
          <w:sz w:val="24"/>
          <w:szCs w:val="24"/>
        </w:rPr>
        <w:t>f</w:t>
      </w:r>
      <w:r w:rsidRPr="00A86726">
        <w:rPr>
          <w:rFonts w:ascii="Times New Roman" w:hAnsi="Times New Roman" w:cs="Times New Roman"/>
          <w:i/>
          <w:iCs/>
          <w:noProof/>
          <w:sz w:val="24"/>
          <w:szCs w:val="24"/>
          <w:vertAlign w:val="subscript"/>
        </w:rPr>
        <w:t>kj</w:t>
      </w:r>
      <w:r w:rsidRPr="00A86726">
        <w:rPr>
          <w:rFonts w:ascii="Times New Roman" w:hAnsi="Times New Roman" w:cs="Times New Roman"/>
          <w:noProof/>
          <w:sz w:val="24"/>
          <w:szCs w:val="24"/>
        </w:rPr>
        <w:t xml:space="preserve"> solutions are the features accelerating the widespread application of PMF model in source apportionment studies (Paterson et al., 1999; Wu et al., 2012).</w:t>
      </w:r>
    </w:p>
    <w:p w14:paraId="3314B021" w14:textId="77777777" w:rsidR="00A86726" w:rsidRPr="00A86726" w:rsidRDefault="00A86726" w:rsidP="00A86726">
      <w:pPr>
        <w:spacing w:line="360" w:lineRule="auto"/>
        <w:jc w:val="both"/>
        <w:rPr>
          <w:rFonts w:ascii="Times New Roman" w:hAnsi="Times New Roman" w:cs="Times New Roman"/>
          <w:bCs/>
          <w:noProof/>
          <w:sz w:val="24"/>
          <w:szCs w:val="24"/>
          <w:lang w:val="en-US"/>
        </w:rPr>
      </w:pPr>
      <w:r w:rsidRPr="00A86726">
        <w:rPr>
          <w:rFonts w:ascii="Times New Roman" w:hAnsi="Times New Roman" w:cs="Times New Roman"/>
          <w:noProof/>
          <w:sz w:val="24"/>
          <w:szCs w:val="24"/>
        </w:rPr>
        <w:t>In this study, the concentration dataset constituted 721 samples and 34 species for May 2012. 34 species included hourly averaged data of PM</w:t>
      </w:r>
      <w:r w:rsidRPr="00A86726">
        <w:rPr>
          <w:rFonts w:ascii="Times New Roman" w:hAnsi="Times New Roman" w:cs="Times New Roman"/>
          <w:noProof/>
          <w:sz w:val="24"/>
          <w:szCs w:val="24"/>
          <w:vertAlign w:val="subscript"/>
        </w:rPr>
        <w:t>2.5</w:t>
      </w:r>
      <w:r w:rsidRPr="00A86726">
        <w:rPr>
          <w:rFonts w:ascii="Times New Roman" w:hAnsi="Times New Roman" w:cs="Times New Roman"/>
          <w:noProof/>
          <w:sz w:val="24"/>
          <w:szCs w:val="24"/>
        </w:rPr>
        <w:t>, PM</w:t>
      </w:r>
      <w:r w:rsidRPr="00A86726">
        <w:rPr>
          <w:rFonts w:ascii="Times New Roman" w:hAnsi="Times New Roman" w:cs="Times New Roman"/>
          <w:noProof/>
          <w:sz w:val="24"/>
          <w:szCs w:val="24"/>
          <w:vertAlign w:val="subscript"/>
        </w:rPr>
        <w:t>10</w:t>
      </w:r>
      <w:r w:rsidRPr="00A86726">
        <w:rPr>
          <w:rFonts w:ascii="Times New Roman" w:hAnsi="Times New Roman" w:cs="Times New Roman"/>
          <w:noProof/>
          <w:sz w:val="24"/>
          <w:szCs w:val="24"/>
        </w:rPr>
        <w:t xml:space="preserve">, 31 VOCs, 1 Total VOC variable as inputs to the US EPA PMF 5.0 receptor model. PM and VOCs data was integrated for an improved source apportionment case. Detection limits of species and a constant error fraction was provided for equation-based uncertainty estimation. This is unlike the observation-based uncertainty file wherein uncertainty estimate for each species in a sample needs to be provided by the user. </w:t>
      </w:r>
      <w:r w:rsidRPr="00A86726">
        <w:rPr>
          <w:rFonts w:ascii="Times New Roman" w:hAnsi="Times New Roman" w:cs="Times New Roman"/>
          <w:bCs/>
          <w:noProof/>
          <w:sz w:val="24"/>
          <w:szCs w:val="24"/>
          <w:lang w:val="en-US"/>
        </w:rPr>
        <w:t xml:space="preserve">For the preparation of error matrix file, two key data elements were needed – detection limit (DL) and error fraction of </w:t>
      </w:r>
      <w:r w:rsidRPr="00A86726">
        <w:rPr>
          <w:rFonts w:ascii="Times New Roman" w:hAnsi="Times New Roman" w:cs="Times New Roman"/>
          <w:bCs/>
          <w:noProof/>
          <w:sz w:val="24"/>
          <w:szCs w:val="24"/>
          <w:lang w:val="en-US"/>
        </w:rPr>
        <w:lastRenderedPageBreak/>
        <w:t xml:space="preserve">chemical species under consideration. The detection limits of chemical species were estimated and for species-specific error fraction, a constant value of 20% was assigned to all the species. PMF uses these two data values to calculate uncertainties for each and every sample. Uncertainty equals 5/6*DL in case the concentration value is less than or equal to the provided DL (Polissar et al., 1998); but if the concentration value is greater than the provided DL, then the uncertainty is calculated as </w:t>
      </w:r>
      <w:r w:rsidRPr="00A86726">
        <w:rPr>
          <w:rFonts w:ascii="Times New Roman" w:hAnsi="Times New Roman" w:cs="Times New Roman"/>
          <w:noProof/>
          <w:sz w:val="24"/>
          <w:szCs w:val="24"/>
          <w:lang w:val="en-US"/>
        </w:rPr>
        <w:t>((Error fraction*concentration)² +(0.5*DL)²)½.</w:t>
      </w:r>
    </w:p>
    <w:p w14:paraId="3BB59E02" w14:textId="77777777" w:rsidR="00A86726" w:rsidRPr="00A86726" w:rsidRDefault="00A86726" w:rsidP="00A86726">
      <w:pPr>
        <w:spacing w:line="360" w:lineRule="auto"/>
        <w:jc w:val="both"/>
        <w:rPr>
          <w:rFonts w:ascii="Times New Roman" w:hAnsi="Times New Roman" w:cs="Times New Roman"/>
          <w:noProof/>
          <w:sz w:val="24"/>
          <w:szCs w:val="24"/>
        </w:rPr>
      </w:pPr>
      <w:r w:rsidRPr="00A86726">
        <w:rPr>
          <w:rFonts w:ascii="Times New Roman" w:hAnsi="Times New Roman" w:cs="Times New Roman"/>
          <w:noProof/>
          <w:sz w:val="24"/>
          <w:szCs w:val="24"/>
          <w:lang w:val="en-US"/>
        </w:rPr>
        <w:t xml:space="preserve">PMF offers inbuilt features for data pretreatment to help improve the quality of the input data and for better interpretation of the model solution. This includes missing data treatment, </w:t>
      </w:r>
      <w:r w:rsidRPr="00A86726">
        <w:rPr>
          <w:rFonts w:ascii="Times New Roman" w:hAnsi="Times New Roman" w:cs="Times New Roman"/>
          <w:noProof/>
          <w:sz w:val="24"/>
          <w:szCs w:val="24"/>
        </w:rPr>
        <w:t xml:space="preserve">signal-to-noise </w:t>
      </w:r>
      <w:r w:rsidRPr="00A86726">
        <w:rPr>
          <w:rFonts w:ascii="Times New Roman" w:hAnsi="Times New Roman" w:cs="Times New Roman"/>
          <w:noProof/>
          <w:sz w:val="24"/>
          <w:szCs w:val="24"/>
          <w:lang w:val="en-US"/>
        </w:rPr>
        <w:t xml:space="preserve">(S/N) </w:t>
      </w:r>
      <w:r w:rsidRPr="00A86726">
        <w:rPr>
          <w:rFonts w:ascii="Times New Roman" w:hAnsi="Times New Roman" w:cs="Times New Roman"/>
          <w:noProof/>
          <w:sz w:val="24"/>
          <w:szCs w:val="24"/>
        </w:rPr>
        <w:t xml:space="preserve">ratio calculation, uncertainty estimation among others. </w:t>
      </w:r>
      <w:r w:rsidRPr="00A86726">
        <w:rPr>
          <w:rFonts w:ascii="Times New Roman" w:hAnsi="Times New Roman" w:cs="Times New Roman"/>
          <w:noProof/>
          <w:sz w:val="24"/>
          <w:szCs w:val="24"/>
          <w:lang w:val="en-US"/>
        </w:rPr>
        <w:t xml:space="preserve">As initial settings for the base runs, around 7% of the total samples were excluded from the PMF analysis due to missing values. The next important step before initiating the model runs was the categorization of species as strong/ weak/ bad depending on their S/N ratio, residuals and other anomalies observed in their temporal behaviour. Strong species had S/N greater than 2 by the species categorization guidelines given in Paatero &amp; Hopke (2003). 18 out of the total measured species were categorized as weak species basis their S/N ratios, other species/source relevant information and the remaining as strong species. As a consequence, PMF triples the given uncertainty for weak species. Even before that, PMF also adjusts the uncertainty for concentrations that are below the DL during </w:t>
      </w:r>
      <w:r w:rsidRPr="00A86726">
        <w:rPr>
          <w:rFonts w:ascii="Times New Roman" w:hAnsi="Times New Roman" w:cs="Times New Roman"/>
          <w:noProof/>
          <w:sz w:val="24"/>
          <w:szCs w:val="24"/>
        </w:rPr>
        <w:t>uncertainty estimation</w:t>
      </w:r>
      <w:r w:rsidRPr="00A86726">
        <w:rPr>
          <w:rFonts w:ascii="Times New Roman" w:hAnsi="Times New Roman" w:cs="Times New Roman"/>
          <w:noProof/>
          <w:sz w:val="24"/>
          <w:szCs w:val="24"/>
          <w:lang w:val="en-US"/>
        </w:rPr>
        <w:t>.</w:t>
      </w:r>
      <w:r w:rsidRPr="00A86726">
        <w:rPr>
          <w:rFonts w:ascii="Times New Roman" w:hAnsi="Times New Roman" w:cs="Times New Roman"/>
          <w:noProof/>
          <w:sz w:val="24"/>
          <w:szCs w:val="24"/>
        </w:rPr>
        <w:t xml:space="preserve"> PM input data statistics retrieved from the PMF model are shown in Table 4.1.</w:t>
      </w:r>
    </w:p>
    <w:p w14:paraId="417B7929" w14:textId="77777777" w:rsidR="00A86726" w:rsidRPr="00A86726" w:rsidRDefault="00A86726" w:rsidP="00A86726">
      <w:pPr>
        <w:spacing w:line="360" w:lineRule="auto"/>
        <w:jc w:val="both"/>
        <w:rPr>
          <w:rFonts w:ascii="Times New Roman" w:hAnsi="Times New Roman" w:cs="Times New Roman"/>
          <w:noProof/>
          <w:sz w:val="24"/>
          <w:szCs w:val="24"/>
        </w:rPr>
      </w:pPr>
      <w:r w:rsidRPr="00A86726">
        <w:rPr>
          <w:rFonts w:ascii="Times New Roman" w:hAnsi="Times New Roman" w:cs="Times New Roman"/>
          <w:noProof/>
          <w:sz w:val="24"/>
          <w:szCs w:val="24"/>
        </w:rPr>
        <w:t>Base model runs were initiated with the recommended number of runs (20) and default seed value (random) to explore six to eight-factor solutions. The use of random seeds every time ensured the replicability of results. The next section on the optimisation of several factors details the scientific reasoning that goes into factor number selection. Stable Q values were achieved with 94% residuals between -3 and +3 standard deviation and all were normally distributed. No extra modelling uncertainty was assigned.</w:t>
      </w:r>
    </w:p>
    <w:p w14:paraId="363E6DC2" w14:textId="637DEAAE" w:rsidR="00F331F1" w:rsidRPr="00A86726" w:rsidRDefault="00A86726" w:rsidP="00E66FEA">
      <w:pPr>
        <w:spacing w:line="360" w:lineRule="auto"/>
        <w:jc w:val="both"/>
        <w:rPr>
          <w:rFonts w:ascii="Times New Roman" w:hAnsi="Times New Roman" w:cs="Times New Roman"/>
          <w:noProof/>
          <w:sz w:val="24"/>
          <w:szCs w:val="24"/>
          <w:lang w:val="en-US"/>
        </w:rPr>
      </w:pPr>
      <w:r w:rsidRPr="00A86726">
        <w:rPr>
          <w:rFonts w:ascii="Times New Roman" w:hAnsi="Times New Roman" w:cs="Times New Roman"/>
          <w:noProof/>
          <w:sz w:val="24"/>
          <w:szCs w:val="24"/>
        </w:rPr>
        <w:t>With the above-mentioned base runs specifications and physically plausible source classification of seven model factors extracted from PMF, fpeak and constrained model runs were initiated. Fpeak model runs and Constrained model operation present in US EPA PMF 5.0 allows for controlling the rotations in the solution thereby reducing the rotational ambiguity. PMF solutions were explored for Q/Q</w:t>
      </w:r>
      <w:r w:rsidRPr="00A86726">
        <w:rPr>
          <w:rFonts w:ascii="Times New Roman" w:hAnsi="Times New Roman" w:cs="Times New Roman"/>
          <w:noProof/>
          <w:sz w:val="24"/>
          <w:szCs w:val="24"/>
          <w:vertAlign w:val="subscript"/>
        </w:rPr>
        <w:t>exp</w:t>
      </w:r>
      <w:r w:rsidRPr="00A86726">
        <w:rPr>
          <w:rFonts w:ascii="Times New Roman" w:hAnsi="Times New Roman" w:cs="Times New Roman"/>
          <w:noProof/>
          <w:sz w:val="24"/>
          <w:szCs w:val="24"/>
        </w:rPr>
        <w:t xml:space="preserve"> values with Fpeak between </w:t>
      </w:r>
      <w:r w:rsidRPr="00A86726">
        <w:rPr>
          <w:rFonts w:ascii="Times New Roman" w:hAnsi="Times New Roman" w:cs="Times New Roman"/>
          <w:noProof/>
          <w:sz w:val="24"/>
          <w:szCs w:val="24"/>
        </w:rPr>
        <w:lastRenderedPageBreak/>
        <w:t xml:space="preserve">-1 and 1 (-1, -0.5, 0, 0.5, 1). The initial base rotation at Fpeak = 0 ended up providing most convincing solution against the Fpeak at -1, -0.5, 0.5, 1.The constraints mode in PMF version 5.0 was utilised to enhance the resolution of base model factors further. Constraints were applied to the factor contribution time series for better segregation of factors leading to finer fit and correspondence of model factors to real sources of air pollution in the region. These mainly involved pulling up or pulling down the factor contributions depending on their activity during specific times of the day and/or their directional variability. For example, if a source is not active for a certain time period, then its contributions can be pulled down in the factor contribution time series. Similarly, if a chemical tracer specific to a certain source is missing, then emission ratios or emission factors can be used to constrain the model outputs to obtain meaningful results. Also, constraints were added to solve the limitations of the PMF model. PMF model outputs mixed source profiles because it cannot separate the contribution from sources that covariate in time (Viana et al., 2008). So, to separate out the mixed profile outputs in this study, i.e., to obtain cleaner profiles of mixed daytime emissions and night-time burning activities, the associated factor contributions were accordingly constrained. </w:t>
      </w:r>
    </w:p>
    <w:tbl>
      <w:tblPr>
        <w:tblStyle w:val="ListTable6Colorful1"/>
        <w:tblW w:w="8626" w:type="dxa"/>
        <w:tblLook w:val="06A0" w:firstRow="1" w:lastRow="0" w:firstColumn="1" w:lastColumn="0" w:noHBand="1" w:noVBand="1"/>
      </w:tblPr>
      <w:tblGrid>
        <w:gridCol w:w="963"/>
        <w:gridCol w:w="1163"/>
        <w:gridCol w:w="590"/>
        <w:gridCol w:w="1243"/>
        <w:gridCol w:w="1229"/>
        <w:gridCol w:w="1229"/>
        <w:gridCol w:w="1229"/>
        <w:gridCol w:w="1283"/>
      </w:tblGrid>
      <w:tr w:rsidR="00E66FEA" w:rsidRPr="00E66FEA" w14:paraId="0E9ED31B" w14:textId="77777777" w:rsidTr="00025D98">
        <w:trPr>
          <w:cnfStyle w:val="100000000000" w:firstRow="1" w:lastRow="0" w:firstColumn="0" w:lastColumn="0" w:oddVBand="0" w:evenVBand="0" w:oddHBand="0" w:evenHBand="0" w:firstRowFirstColumn="0" w:firstRowLastColumn="0" w:lastRowFirstColumn="0" w:lastRowLastColumn="0"/>
          <w:trHeight w:val="808"/>
        </w:trPr>
        <w:tc>
          <w:tcPr>
            <w:cnfStyle w:val="001000000000" w:firstRow="0" w:lastRow="0" w:firstColumn="1" w:lastColumn="0" w:oddVBand="0" w:evenVBand="0" w:oddHBand="0" w:evenHBand="0" w:firstRowFirstColumn="0" w:firstRowLastColumn="0" w:lastRowFirstColumn="0" w:lastRowLastColumn="0"/>
            <w:tcW w:w="932" w:type="dxa"/>
          </w:tcPr>
          <w:p w14:paraId="140580BF" w14:textId="77777777" w:rsidR="00F331F1" w:rsidRPr="00E66FEA" w:rsidRDefault="00F331F1" w:rsidP="00E66FEA">
            <w:pPr>
              <w:spacing w:line="360" w:lineRule="auto"/>
              <w:jc w:val="both"/>
              <w:rPr>
                <w:color w:val="auto"/>
              </w:rPr>
            </w:pPr>
            <w:r w:rsidRPr="00E66FEA">
              <w:rPr>
                <w:color w:val="auto"/>
              </w:rPr>
              <w:t xml:space="preserve">Species </w:t>
            </w:r>
          </w:p>
        </w:tc>
        <w:tc>
          <w:tcPr>
            <w:tcW w:w="1123" w:type="dxa"/>
          </w:tcPr>
          <w:p w14:paraId="3228EDFD"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Category</w:t>
            </w:r>
          </w:p>
        </w:tc>
        <w:tc>
          <w:tcPr>
            <w:tcW w:w="577" w:type="dxa"/>
          </w:tcPr>
          <w:p w14:paraId="673ECB24"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S/N</w:t>
            </w:r>
          </w:p>
        </w:tc>
        <w:tc>
          <w:tcPr>
            <w:tcW w:w="1199" w:type="dxa"/>
          </w:tcPr>
          <w:p w14:paraId="6F0401D0"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Minimum</w:t>
            </w:r>
          </w:p>
        </w:tc>
        <w:tc>
          <w:tcPr>
            <w:tcW w:w="1186" w:type="dxa"/>
          </w:tcPr>
          <w:p w14:paraId="07C66B52"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25</w:t>
            </w:r>
            <w:r w:rsidRPr="00E66FEA">
              <w:rPr>
                <w:color w:val="auto"/>
                <w:vertAlign w:val="superscript"/>
              </w:rPr>
              <w:t>th</w:t>
            </w:r>
            <w:r w:rsidRPr="00E66FEA">
              <w:rPr>
                <w:color w:val="auto"/>
              </w:rPr>
              <w:t xml:space="preserve"> percentile</w:t>
            </w:r>
          </w:p>
        </w:tc>
        <w:tc>
          <w:tcPr>
            <w:tcW w:w="1186" w:type="dxa"/>
          </w:tcPr>
          <w:p w14:paraId="620FEBD9"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50</w:t>
            </w:r>
            <w:r w:rsidRPr="00E66FEA">
              <w:rPr>
                <w:color w:val="auto"/>
                <w:vertAlign w:val="superscript"/>
              </w:rPr>
              <w:t>th</w:t>
            </w:r>
            <w:r w:rsidRPr="00E66FEA">
              <w:rPr>
                <w:color w:val="auto"/>
              </w:rPr>
              <w:t xml:space="preserve"> percentile</w:t>
            </w:r>
          </w:p>
        </w:tc>
        <w:tc>
          <w:tcPr>
            <w:tcW w:w="1186" w:type="dxa"/>
          </w:tcPr>
          <w:p w14:paraId="17D7D37A"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75</w:t>
            </w:r>
            <w:r w:rsidRPr="00E66FEA">
              <w:rPr>
                <w:color w:val="auto"/>
                <w:vertAlign w:val="superscript"/>
              </w:rPr>
              <w:t>th</w:t>
            </w:r>
            <w:r w:rsidRPr="00E66FEA">
              <w:rPr>
                <w:color w:val="auto"/>
              </w:rPr>
              <w:t xml:space="preserve"> percentile</w:t>
            </w:r>
          </w:p>
        </w:tc>
        <w:tc>
          <w:tcPr>
            <w:tcW w:w="1237" w:type="dxa"/>
          </w:tcPr>
          <w:p w14:paraId="4DD8BB86" w14:textId="77777777" w:rsidR="00F331F1" w:rsidRPr="00E66FEA"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rPr>
            </w:pPr>
            <w:r w:rsidRPr="00E66FEA">
              <w:rPr>
                <w:color w:val="auto"/>
              </w:rPr>
              <w:t>Maximum</w:t>
            </w:r>
          </w:p>
        </w:tc>
      </w:tr>
      <w:tr w:rsidR="00E66FEA" w:rsidRPr="00E66FEA" w14:paraId="6882D0CA" w14:textId="77777777" w:rsidTr="00025D98">
        <w:trPr>
          <w:trHeight w:val="448"/>
        </w:trPr>
        <w:tc>
          <w:tcPr>
            <w:cnfStyle w:val="001000000000" w:firstRow="0" w:lastRow="0" w:firstColumn="1" w:lastColumn="0" w:oddVBand="0" w:evenVBand="0" w:oddHBand="0" w:evenHBand="0" w:firstRowFirstColumn="0" w:firstRowLastColumn="0" w:lastRowFirstColumn="0" w:lastRowLastColumn="0"/>
            <w:tcW w:w="932" w:type="dxa"/>
          </w:tcPr>
          <w:p w14:paraId="7E157AF6" w14:textId="77777777" w:rsidR="00F331F1" w:rsidRPr="00E66FEA" w:rsidRDefault="00F331F1" w:rsidP="00E66FEA">
            <w:pPr>
              <w:spacing w:line="360" w:lineRule="auto"/>
              <w:jc w:val="both"/>
              <w:rPr>
                <w:color w:val="auto"/>
                <w:vertAlign w:val="subscript"/>
              </w:rPr>
            </w:pPr>
            <w:r w:rsidRPr="00E66FEA">
              <w:rPr>
                <w:color w:val="auto"/>
              </w:rPr>
              <w:t>PM</w:t>
            </w:r>
            <w:r w:rsidRPr="00E66FEA">
              <w:rPr>
                <w:color w:val="auto"/>
                <w:vertAlign w:val="subscript"/>
              </w:rPr>
              <w:t>10</w:t>
            </w:r>
          </w:p>
        </w:tc>
        <w:tc>
          <w:tcPr>
            <w:tcW w:w="1123" w:type="dxa"/>
          </w:tcPr>
          <w:p w14:paraId="191B2C80"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Strong</w:t>
            </w:r>
          </w:p>
        </w:tc>
        <w:tc>
          <w:tcPr>
            <w:tcW w:w="577" w:type="dxa"/>
          </w:tcPr>
          <w:p w14:paraId="4286EB2A"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4.0</w:t>
            </w:r>
          </w:p>
        </w:tc>
        <w:tc>
          <w:tcPr>
            <w:tcW w:w="1199" w:type="dxa"/>
          </w:tcPr>
          <w:p w14:paraId="4CF87ABB"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28.6</w:t>
            </w:r>
          </w:p>
        </w:tc>
        <w:tc>
          <w:tcPr>
            <w:tcW w:w="1186" w:type="dxa"/>
          </w:tcPr>
          <w:p w14:paraId="738934EB"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162.1</w:t>
            </w:r>
          </w:p>
        </w:tc>
        <w:tc>
          <w:tcPr>
            <w:tcW w:w="1186" w:type="dxa"/>
          </w:tcPr>
          <w:p w14:paraId="71C0052B"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221.1</w:t>
            </w:r>
          </w:p>
        </w:tc>
        <w:tc>
          <w:tcPr>
            <w:tcW w:w="1186" w:type="dxa"/>
          </w:tcPr>
          <w:p w14:paraId="6E932EBD"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279.4</w:t>
            </w:r>
          </w:p>
        </w:tc>
        <w:tc>
          <w:tcPr>
            <w:tcW w:w="1237" w:type="dxa"/>
          </w:tcPr>
          <w:p w14:paraId="1F750D10"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3038.5</w:t>
            </w:r>
          </w:p>
        </w:tc>
      </w:tr>
      <w:tr w:rsidR="00E66FEA" w:rsidRPr="00E66FEA" w14:paraId="4EBE09BB" w14:textId="77777777" w:rsidTr="00025D98">
        <w:trPr>
          <w:trHeight w:val="437"/>
        </w:trPr>
        <w:tc>
          <w:tcPr>
            <w:cnfStyle w:val="001000000000" w:firstRow="0" w:lastRow="0" w:firstColumn="1" w:lastColumn="0" w:oddVBand="0" w:evenVBand="0" w:oddHBand="0" w:evenHBand="0" w:firstRowFirstColumn="0" w:firstRowLastColumn="0" w:lastRowFirstColumn="0" w:lastRowLastColumn="0"/>
            <w:tcW w:w="932" w:type="dxa"/>
          </w:tcPr>
          <w:p w14:paraId="7D90B523" w14:textId="77777777" w:rsidR="00F331F1" w:rsidRPr="00E66FEA" w:rsidRDefault="00F331F1" w:rsidP="00E66FEA">
            <w:pPr>
              <w:spacing w:line="360" w:lineRule="auto"/>
              <w:jc w:val="both"/>
              <w:rPr>
                <w:color w:val="auto"/>
                <w:vertAlign w:val="subscript"/>
              </w:rPr>
            </w:pPr>
            <w:r w:rsidRPr="00E66FEA">
              <w:rPr>
                <w:color w:val="auto"/>
              </w:rPr>
              <w:t>PM</w:t>
            </w:r>
            <w:r w:rsidRPr="00E66FEA">
              <w:rPr>
                <w:color w:val="auto"/>
                <w:vertAlign w:val="subscript"/>
              </w:rPr>
              <w:t>2.5</w:t>
            </w:r>
          </w:p>
        </w:tc>
        <w:tc>
          <w:tcPr>
            <w:tcW w:w="1123" w:type="dxa"/>
          </w:tcPr>
          <w:p w14:paraId="3382052A"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Strong</w:t>
            </w:r>
          </w:p>
        </w:tc>
        <w:tc>
          <w:tcPr>
            <w:tcW w:w="577" w:type="dxa"/>
          </w:tcPr>
          <w:p w14:paraId="1E0CE311"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3.9</w:t>
            </w:r>
          </w:p>
        </w:tc>
        <w:tc>
          <w:tcPr>
            <w:tcW w:w="1199" w:type="dxa"/>
          </w:tcPr>
          <w:p w14:paraId="6F6FCF9A"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7.5</w:t>
            </w:r>
          </w:p>
        </w:tc>
        <w:tc>
          <w:tcPr>
            <w:tcW w:w="1186" w:type="dxa"/>
          </w:tcPr>
          <w:p w14:paraId="2F7C2B47"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62.1</w:t>
            </w:r>
          </w:p>
        </w:tc>
        <w:tc>
          <w:tcPr>
            <w:tcW w:w="1186" w:type="dxa"/>
          </w:tcPr>
          <w:p w14:paraId="4994FEA9"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88.0</w:t>
            </w:r>
          </w:p>
        </w:tc>
        <w:tc>
          <w:tcPr>
            <w:tcW w:w="1186" w:type="dxa"/>
          </w:tcPr>
          <w:p w14:paraId="73FA7840"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121.1</w:t>
            </w:r>
          </w:p>
        </w:tc>
        <w:tc>
          <w:tcPr>
            <w:tcW w:w="1237" w:type="dxa"/>
          </w:tcPr>
          <w:p w14:paraId="6AE42DCD" w14:textId="77777777" w:rsidR="00F331F1" w:rsidRPr="00E66FEA"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rPr>
            </w:pPr>
            <w:r w:rsidRPr="00E66FEA">
              <w:rPr>
                <w:color w:val="auto"/>
              </w:rPr>
              <w:t>935.6</w:t>
            </w:r>
          </w:p>
        </w:tc>
      </w:tr>
    </w:tbl>
    <w:p w14:paraId="1BF6F061" w14:textId="47E41D40" w:rsidR="00F331F1" w:rsidRPr="00A86726" w:rsidRDefault="00BC2A0F" w:rsidP="00A86726">
      <w:pPr>
        <w:pStyle w:val="Caption"/>
        <w:spacing w:line="360" w:lineRule="auto"/>
        <w:jc w:val="both"/>
        <w:rPr>
          <w:rFonts w:ascii="Times New Roman" w:hAnsi="Times New Roman" w:cs="Times New Roman"/>
          <w:color w:val="auto"/>
          <w:sz w:val="24"/>
          <w:szCs w:val="24"/>
        </w:rPr>
      </w:pPr>
      <w:bookmarkStart w:id="72" w:name="_Toc133580165"/>
      <w:r w:rsidRPr="00E66FEA">
        <w:rPr>
          <w:rFonts w:ascii="Times New Roman" w:hAnsi="Times New Roman" w:cs="Times New Roman"/>
          <w:color w:val="auto"/>
          <w:sz w:val="24"/>
          <w:szCs w:val="24"/>
        </w:rPr>
        <w:t xml:space="preserve">Table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Table_4.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1</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color w:val="auto"/>
          <w:sz w:val="24"/>
          <w:szCs w:val="24"/>
        </w:rPr>
        <w:t xml:space="preserve"> PMF model input data summary statistics of PM (</w:t>
      </w:r>
      <w:r w:rsidR="00F331F1" w:rsidRPr="00E66FEA">
        <w:rPr>
          <w:rFonts w:ascii="Times New Roman" w:hAnsi="Times New Roman" w:cs="Times New Roman"/>
          <w:color w:val="auto"/>
          <w:sz w:val="24"/>
          <w:szCs w:val="24"/>
          <w:lang w:val="en-GB"/>
        </w:rPr>
        <w:t>µg/m³)</w:t>
      </w:r>
      <w:r w:rsidR="00F331F1" w:rsidRPr="00E66FEA">
        <w:rPr>
          <w:rFonts w:ascii="Times New Roman" w:hAnsi="Times New Roman" w:cs="Times New Roman"/>
          <w:color w:val="auto"/>
          <w:sz w:val="24"/>
          <w:szCs w:val="24"/>
        </w:rPr>
        <w:t>.</w:t>
      </w:r>
      <w:bookmarkEnd w:id="72"/>
    </w:p>
    <w:p w14:paraId="6B707B06" w14:textId="60020738" w:rsidR="00F331F1" w:rsidRPr="00E66FEA" w:rsidRDefault="00F331F1" w:rsidP="00E66FEA">
      <w:pPr>
        <w:pStyle w:val="ListParagraph"/>
        <w:keepNext/>
        <w:keepLines/>
        <w:numPr>
          <w:ilvl w:val="2"/>
          <w:numId w:val="25"/>
        </w:numPr>
        <w:spacing w:before="40" w:after="0" w:line="360" w:lineRule="auto"/>
        <w:outlineLvl w:val="2"/>
        <w:rPr>
          <w:rFonts w:ascii="Times New Roman" w:eastAsiaTheme="majorEastAsia" w:hAnsi="Times New Roman" w:cs="Times New Roman"/>
          <w:b/>
          <w:noProof/>
          <w:sz w:val="24"/>
          <w:szCs w:val="24"/>
        </w:rPr>
      </w:pPr>
      <w:bookmarkStart w:id="73" w:name="_Toc146809865"/>
      <w:r w:rsidRPr="00E66FEA">
        <w:rPr>
          <w:rFonts w:ascii="Times New Roman" w:eastAsiaTheme="majorEastAsia" w:hAnsi="Times New Roman" w:cs="Times New Roman"/>
          <w:b/>
          <w:noProof/>
          <w:sz w:val="24"/>
          <w:szCs w:val="24"/>
        </w:rPr>
        <w:t>Optimizing number of factors</w:t>
      </w:r>
      <w:bookmarkEnd w:id="73"/>
    </w:p>
    <w:p w14:paraId="22F21CFD" w14:textId="75B3EBEA" w:rsidR="00F63325" w:rsidRPr="00F63325" w:rsidRDefault="00F63325" w:rsidP="00F63325">
      <w:pPr>
        <w:spacing w:after="0" w:line="360" w:lineRule="auto"/>
        <w:jc w:val="both"/>
        <w:rPr>
          <w:rFonts w:ascii="Times New Roman" w:hAnsi="Times New Roman" w:cs="Times New Roman"/>
          <w:sz w:val="24"/>
          <w:szCs w:val="24"/>
        </w:rPr>
      </w:pPr>
      <w:r w:rsidRPr="00F63325">
        <w:rPr>
          <w:rFonts w:ascii="Times New Roman" w:hAnsi="Times New Roman" w:cs="Times New Roman"/>
          <w:sz w:val="24"/>
          <w:szCs w:val="24"/>
        </w:rPr>
        <w:t>For deciding the number of model factors that gives a statistically valid solution, accommodate the real-world phenomenon; the one that explains variability in the dataset appropriately and which is feasible with the environmental conditions in Mohali; PMF model results were investigated for factor numbers starting six. In a VOC source apportionment study carried out by Pallavi et al. (2019) for the Mohali region, six sources were resolved using the PMF model wherein the PMF model outputs were validated by the experimentally obtained source profiles (garbage burning, domestic cooking, agricultural waste burning, industry-related and traffic emissions) as well as various external tracers (CO, SO</w:t>
      </w:r>
      <w:r w:rsidRPr="00F63325">
        <w:rPr>
          <w:rFonts w:ascii="Times New Roman" w:hAnsi="Times New Roman" w:cs="Times New Roman"/>
          <w:sz w:val="24"/>
          <w:szCs w:val="24"/>
          <w:vertAlign w:val="subscript"/>
        </w:rPr>
        <w:t>2</w:t>
      </w:r>
      <w:r w:rsidRPr="00F63325">
        <w:rPr>
          <w:rFonts w:ascii="Times New Roman" w:hAnsi="Times New Roman" w:cs="Times New Roman"/>
          <w:sz w:val="24"/>
          <w:szCs w:val="24"/>
        </w:rPr>
        <w:t>, NO</w:t>
      </w:r>
      <w:r w:rsidRPr="00F63325">
        <w:rPr>
          <w:rFonts w:ascii="Times New Roman" w:hAnsi="Times New Roman" w:cs="Times New Roman"/>
          <w:sz w:val="24"/>
          <w:szCs w:val="24"/>
          <w:vertAlign w:val="subscript"/>
        </w:rPr>
        <w:t>x</w:t>
      </w:r>
      <w:r w:rsidRPr="00F63325">
        <w:rPr>
          <w:rFonts w:ascii="Times New Roman" w:hAnsi="Times New Roman" w:cs="Times New Roman"/>
          <w:sz w:val="24"/>
          <w:szCs w:val="24"/>
        </w:rPr>
        <w:t>, O</w:t>
      </w:r>
      <w:r w:rsidRPr="00F63325">
        <w:rPr>
          <w:rFonts w:ascii="Times New Roman" w:hAnsi="Times New Roman" w:cs="Times New Roman"/>
          <w:sz w:val="24"/>
          <w:szCs w:val="24"/>
          <w:vertAlign w:val="subscript"/>
        </w:rPr>
        <w:t>3</w:t>
      </w:r>
      <w:r w:rsidRPr="00F63325">
        <w:rPr>
          <w:rFonts w:ascii="Times New Roman" w:hAnsi="Times New Roman" w:cs="Times New Roman"/>
          <w:sz w:val="24"/>
          <w:szCs w:val="24"/>
        </w:rPr>
        <w:t xml:space="preserve">, fire counts). This study aims to extend the visibility of PM emission sources in the area. Hence PMF solutions were explored for PM and </w:t>
      </w:r>
      <w:r w:rsidRPr="00F63325">
        <w:rPr>
          <w:rFonts w:ascii="Times New Roman" w:hAnsi="Times New Roman" w:cs="Times New Roman"/>
          <w:sz w:val="24"/>
          <w:szCs w:val="24"/>
        </w:rPr>
        <w:lastRenderedPageBreak/>
        <w:t>VOCs in conjunction. The addition of VOCs to PM for PM source apportionment has shown to enhance the separation of PMF model factors (Liao et al., 2017) and aids the source attribution using VOC tracer species. PMF model applied to PM and VOCs data with six-factor number resulted in a solution set with no industrial emissions and solvent use factor. So then, to quantify the PM source contributions and retain the previously confirmed source factors simultaneously, a 7-factor solution was examined. The 7-factor solution opened a new factor completely synchronous with the ambient PM measurements (Fig. 4.4) at the receptor site. Thus, the 7-factor solution was deemed the optimal number of factors because for an 8-factor solution, not only did the factor profiles get distorted, but the extra degree of freedom made available to the model did not correlate well with any of the validated source profiles. Beyond the seven-factor number, no significant and additional factors came up that could unambiguously represent VOC and PM sources. Ultimately, seven factors were derived out of this ambient data set of PM and VOCs that adequately explained the occurrence of dust storms, frequent wheat residue burning episodes in that particular month, open waste burning events that are observed all throughout the year and traffic and industrial source emissions.</w:t>
      </w:r>
    </w:p>
    <w:p w14:paraId="3D4ED7C6" w14:textId="77777777" w:rsidR="00F63325" w:rsidRPr="00F63325" w:rsidRDefault="00F63325" w:rsidP="00F63325">
      <w:pPr>
        <w:spacing w:after="0" w:line="360" w:lineRule="auto"/>
        <w:jc w:val="both"/>
        <w:rPr>
          <w:rFonts w:ascii="Times New Roman" w:hAnsi="Times New Roman" w:cs="Times New Roman"/>
          <w:sz w:val="24"/>
          <w:szCs w:val="24"/>
          <w:lang w:val="en-US"/>
        </w:rPr>
      </w:pPr>
      <w:r w:rsidRPr="00F63325">
        <w:rPr>
          <w:rFonts w:ascii="Times New Roman" w:hAnsi="Times New Roman" w:cs="Times New Roman"/>
          <w:sz w:val="24"/>
          <w:szCs w:val="24"/>
          <w:lang w:val="en-US"/>
        </w:rPr>
        <w:t>In order to optimize the selection of number of factors, Q/Q</w:t>
      </w:r>
      <w:r w:rsidRPr="00F63325">
        <w:rPr>
          <w:rFonts w:ascii="Times New Roman" w:hAnsi="Times New Roman" w:cs="Times New Roman"/>
          <w:sz w:val="24"/>
          <w:szCs w:val="24"/>
          <w:vertAlign w:val="subscript"/>
          <w:lang w:val="en-US"/>
        </w:rPr>
        <w:t>exp</w:t>
      </w:r>
      <w:r w:rsidRPr="00F63325">
        <w:rPr>
          <w:rFonts w:ascii="Times New Roman" w:hAnsi="Times New Roman" w:cs="Times New Roman"/>
          <w:sz w:val="24"/>
          <w:szCs w:val="24"/>
          <w:lang w:val="en-US"/>
        </w:rPr>
        <w:t xml:space="preserve"> was examined for various number of selected factors in PMF base run mode. PMF was run for a range of factor numbers with random seed value. Q/Q</w:t>
      </w:r>
      <w:r w:rsidRPr="00F63325">
        <w:rPr>
          <w:rFonts w:ascii="Times New Roman" w:hAnsi="Times New Roman" w:cs="Times New Roman"/>
          <w:sz w:val="24"/>
          <w:szCs w:val="24"/>
          <w:vertAlign w:val="subscript"/>
          <w:lang w:val="en-US"/>
        </w:rPr>
        <w:t xml:space="preserve">exp </w:t>
      </w:r>
      <w:r w:rsidRPr="00F63325">
        <w:rPr>
          <w:rFonts w:ascii="Times New Roman" w:hAnsi="Times New Roman" w:cs="Times New Roman"/>
          <w:sz w:val="24"/>
          <w:szCs w:val="24"/>
          <w:lang w:val="en-US"/>
        </w:rPr>
        <w:t>values were always below 1 (Fig. 4.10) indicating overestimation of the errors. This is mainly because of the fixed value (20%) of the maximum possible uncertainty assigned to all the species, which has a bearing on the magnitude of Q-values. The change in Q/Q</w:t>
      </w:r>
      <w:r w:rsidRPr="00F63325">
        <w:rPr>
          <w:rFonts w:ascii="Times New Roman" w:hAnsi="Times New Roman" w:cs="Times New Roman"/>
          <w:sz w:val="24"/>
          <w:szCs w:val="24"/>
          <w:vertAlign w:val="subscript"/>
          <w:lang w:val="en-US"/>
        </w:rPr>
        <w:t xml:space="preserve">exp </w:t>
      </w:r>
      <w:r w:rsidRPr="00F63325">
        <w:rPr>
          <w:rFonts w:ascii="Times New Roman" w:hAnsi="Times New Roman" w:cs="Times New Roman"/>
          <w:sz w:val="24"/>
          <w:szCs w:val="24"/>
          <w:lang w:val="en-US"/>
        </w:rPr>
        <w:t>value observed a sharp decline at factor number 7, implying that the introduction of the extra factor appropriately explained the intrinsic variation in the dataset and hence justified the selection of factor number.</w:t>
      </w:r>
    </w:p>
    <w:p w14:paraId="14B893CF" w14:textId="4B3051A9" w:rsidR="00F63325" w:rsidRDefault="00F63325" w:rsidP="00F63325">
      <w:pPr>
        <w:spacing w:after="0" w:line="360" w:lineRule="auto"/>
        <w:jc w:val="both"/>
        <w:rPr>
          <w:rFonts w:ascii="Times New Roman" w:hAnsi="Times New Roman" w:cs="Times New Roman"/>
          <w:sz w:val="24"/>
          <w:szCs w:val="24"/>
        </w:rPr>
      </w:pPr>
      <w:r w:rsidRPr="00F63325">
        <w:rPr>
          <w:rFonts w:ascii="Times New Roman" w:hAnsi="Times New Roman" w:cs="Times New Roman"/>
          <w:sz w:val="24"/>
          <w:szCs w:val="24"/>
        </w:rPr>
        <w:t>To validate the factor number selection further, a comparative analysis was carried out between six source factors extracted from VOC dataset and seven source factors extracted from PM and VOC dataset. Factor profiles and factor contribution matrices of six and seven factor model solution were compared to understand better the dust factor composition and its time series. Six and seven factor model solution factor profiles comprising of normalised concentration of different VOC species</w:t>
      </w:r>
      <w:r w:rsidRPr="00F63325">
        <w:rPr>
          <w:rFonts w:ascii="Times New Roman" w:hAnsi="Times New Roman" w:cs="Times New Roman"/>
          <w:sz w:val="24"/>
          <w:szCs w:val="24"/>
          <w:lang w:val="en-GB"/>
        </w:rPr>
        <w:t xml:space="preserve"> </w:t>
      </w:r>
      <w:r w:rsidRPr="00F63325">
        <w:rPr>
          <w:rFonts w:ascii="Times New Roman" w:hAnsi="Times New Roman" w:cs="Times New Roman"/>
          <w:sz w:val="24"/>
          <w:szCs w:val="24"/>
        </w:rPr>
        <w:t xml:space="preserve">and factor-wise distribution of VOC species in terms of percentage for all the factors are depicted in Figure 4.3. At the same time, the correlation indices between factor contributions of the two solution sets are given in Table 4.2. While going from a six to seven-factor model solution, it was noted that the factors matching the point source profiles (industrial </w:t>
      </w:r>
      <w:r w:rsidRPr="00F63325">
        <w:rPr>
          <w:rFonts w:ascii="Times New Roman" w:hAnsi="Times New Roman" w:cs="Times New Roman"/>
          <w:sz w:val="24"/>
          <w:szCs w:val="24"/>
        </w:rPr>
        <w:lastRenderedPageBreak/>
        <w:t>emissions and solvent use) and the quantifiable mobile source profiles (cars, two-wheelers) remained more or less intact (R &gt; 0.96) but some mass transferred from earlier designated mixed factors to the new dust factor. However, this analysis confirmed substantial overlap of established sources in seven-factor solution. It even made the dust factor source assignment more definitive since it derived its base largely from the PM data with minor VOCs and at the same time, concretised the PM</w:t>
      </w:r>
      <w:r w:rsidRPr="00F63325">
        <w:rPr>
          <w:rFonts w:ascii="Times New Roman" w:hAnsi="Times New Roman" w:cs="Times New Roman"/>
          <w:sz w:val="24"/>
          <w:szCs w:val="24"/>
          <w:vertAlign w:val="subscript"/>
        </w:rPr>
        <w:t>10</w:t>
      </w:r>
      <w:r w:rsidRPr="00F63325">
        <w:rPr>
          <w:rFonts w:ascii="Times New Roman" w:hAnsi="Times New Roman" w:cs="Times New Roman"/>
          <w:sz w:val="24"/>
          <w:szCs w:val="24"/>
        </w:rPr>
        <w:t xml:space="preserve"> and PM</w:t>
      </w:r>
      <w:r w:rsidRPr="00F63325">
        <w:rPr>
          <w:rFonts w:ascii="Times New Roman" w:hAnsi="Times New Roman" w:cs="Times New Roman"/>
          <w:sz w:val="24"/>
          <w:szCs w:val="24"/>
          <w:vertAlign w:val="subscript"/>
        </w:rPr>
        <w:t>2.5</w:t>
      </w:r>
      <w:r w:rsidRPr="00F63325">
        <w:rPr>
          <w:rFonts w:ascii="Times New Roman" w:hAnsi="Times New Roman" w:cs="Times New Roman"/>
          <w:sz w:val="24"/>
          <w:szCs w:val="24"/>
        </w:rPr>
        <w:t xml:space="preserve"> contributions in other source factors.</w:t>
      </w:r>
    </w:p>
    <w:p w14:paraId="17B98B1A" w14:textId="77777777" w:rsidR="005C6576" w:rsidRPr="00F63325" w:rsidRDefault="005C6576" w:rsidP="00F63325">
      <w:pPr>
        <w:spacing w:after="0" w:line="360" w:lineRule="auto"/>
        <w:jc w:val="both"/>
        <w:rPr>
          <w:rFonts w:ascii="Times New Roman" w:hAnsi="Times New Roman" w:cs="Times New Roman"/>
          <w:sz w:val="24"/>
          <w:szCs w:val="24"/>
        </w:rPr>
      </w:pPr>
    </w:p>
    <w:p w14:paraId="276F04C0" w14:textId="0BAD0793" w:rsidR="00F331F1" w:rsidRDefault="00F331F1" w:rsidP="00F63325">
      <w:pPr>
        <w:spacing w:after="0" w:line="360" w:lineRule="auto"/>
        <w:jc w:val="both"/>
        <w:rPr>
          <w:rFonts w:ascii="Times New Roman" w:hAnsi="Times New Roman" w:cs="Times New Roman"/>
          <w:sz w:val="24"/>
          <w:szCs w:val="24"/>
        </w:rPr>
      </w:pPr>
    </w:p>
    <w:tbl>
      <w:tblPr>
        <w:tblStyle w:val="ListTable6Colorful1"/>
        <w:tblW w:w="9036" w:type="dxa"/>
        <w:tblLook w:val="06A0" w:firstRow="1" w:lastRow="0" w:firstColumn="1" w:lastColumn="0" w:noHBand="1" w:noVBand="1"/>
      </w:tblPr>
      <w:tblGrid>
        <w:gridCol w:w="672"/>
        <w:gridCol w:w="672"/>
        <w:gridCol w:w="650"/>
        <w:gridCol w:w="636"/>
        <w:gridCol w:w="650"/>
        <w:gridCol w:w="637"/>
        <w:gridCol w:w="637"/>
        <w:gridCol w:w="672"/>
        <w:gridCol w:w="637"/>
        <w:gridCol w:w="637"/>
        <w:gridCol w:w="637"/>
        <w:gridCol w:w="637"/>
        <w:gridCol w:w="650"/>
        <w:gridCol w:w="650"/>
      </w:tblGrid>
      <w:tr w:rsidR="005C6576" w:rsidRPr="00E66FEA" w14:paraId="0680D962" w14:textId="77777777" w:rsidTr="00E00912">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666" w:type="dxa"/>
          </w:tcPr>
          <w:p w14:paraId="67C7CDB0" w14:textId="77777777" w:rsidR="005C6576" w:rsidRPr="00E66FEA" w:rsidRDefault="005C6576" w:rsidP="00E00912">
            <w:pPr>
              <w:spacing w:line="360" w:lineRule="auto"/>
              <w:jc w:val="both"/>
              <w:rPr>
                <w:color w:val="auto"/>
                <w:sz w:val="20"/>
                <w:szCs w:val="20"/>
              </w:rPr>
            </w:pPr>
          </w:p>
        </w:tc>
        <w:tc>
          <w:tcPr>
            <w:tcW w:w="666" w:type="dxa"/>
          </w:tcPr>
          <w:p w14:paraId="772ACAC0"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6WH</w:t>
            </w:r>
          </w:p>
        </w:tc>
        <w:tc>
          <w:tcPr>
            <w:tcW w:w="645" w:type="dxa"/>
          </w:tcPr>
          <w:p w14:paraId="3FB12495"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6TW</w:t>
            </w:r>
          </w:p>
        </w:tc>
        <w:tc>
          <w:tcPr>
            <w:tcW w:w="636" w:type="dxa"/>
          </w:tcPr>
          <w:p w14:paraId="09D53349"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6DY</w:t>
            </w:r>
          </w:p>
        </w:tc>
        <w:tc>
          <w:tcPr>
            <w:tcW w:w="645" w:type="dxa"/>
          </w:tcPr>
          <w:p w14:paraId="531D321D"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6BW</w:t>
            </w:r>
          </w:p>
        </w:tc>
        <w:tc>
          <w:tcPr>
            <w:tcW w:w="637" w:type="dxa"/>
          </w:tcPr>
          <w:p w14:paraId="22185E06"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6CR</w:t>
            </w:r>
          </w:p>
        </w:tc>
        <w:tc>
          <w:tcPr>
            <w:tcW w:w="637" w:type="dxa"/>
          </w:tcPr>
          <w:p w14:paraId="1BDBDDB4"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6IS</w:t>
            </w:r>
          </w:p>
        </w:tc>
        <w:tc>
          <w:tcPr>
            <w:tcW w:w="666" w:type="dxa"/>
          </w:tcPr>
          <w:p w14:paraId="5CD50DD8"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7WH</w:t>
            </w:r>
          </w:p>
        </w:tc>
        <w:tc>
          <w:tcPr>
            <w:tcW w:w="637" w:type="dxa"/>
          </w:tcPr>
          <w:p w14:paraId="7480EDEF"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7DY</w:t>
            </w:r>
          </w:p>
        </w:tc>
        <w:tc>
          <w:tcPr>
            <w:tcW w:w="637" w:type="dxa"/>
          </w:tcPr>
          <w:p w14:paraId="1134DB32"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7IS</w:t>
            </w:r>
          </w:p>
        </w:tc>
        <w:tc>
          <w:tcPr>
            <w:tcW w:w="637" w:type="dxa"/>
          </w:tcPr>
          <w:p w14:paraId="33C9B9E6"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7CR</w:t>
            </w:r>
          </w:p>
        </w:tc>
        <w:tc>
          <w:tcPr>
            <w:tcW w:w="637" w:type="dxa"/>
          </w:tcPr>
          <w:p w14:paraId="5CED70E3"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7DS</w:t>
            </w:r>
          </w:p>
        </w:tc>
        <w:tc>
          <w:tcPr>
            <w:tcW w:w="645" w:type="dxa"/>
          </w:tcPr>
          <w:p w14:paraId="1C10A77B"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7TW</w:t>
            </w:r>
          </w:p>
        </w:tc>
        <w:tc>
          <w:tcPr>
            <w:tcW w:w="645" w:type="dxa"/>
          </w:tcPr>
          <w:p w14:paraId="45F5EC8E" w14:textId="77777777" w:rsidR="005C6576" w:rsidRPr="00E66FEA" w:rsidRDefault="005C6576" w:rsidP="00E00912">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0"/>
                <w:szCs w:val="20"/>
              </w:rPr>
            </w:pPr>
            <w:r w:rsidRPr="00E66FEA">
              <w:rPr>
                <w:rFonts w:eastAsia="Times New Roman"/>
                <w:color w:val="auto"/>
                <w:sz w:val="20"/>
                <w:szCs w:val="20"/>
                <w:lang w:eastAsia="en-IN"/>
              </w:rPr>
              <w:t>7BW</w:t>
            </w:r>
          </w:p>
        </w:tc>
      </w:tr>
      <w:tr w:rsidR="005C6576" w:rsidRPr="00E66FEA" w14:paraId="40AC75F5"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18203741"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6WH</w:t>
            </w:r>
          </w:p>
        </w:tc>
        <w:tc>
          <w:tcPr>
            <w:tcW w:w="666" w:type="dxa"/>
            <w:noWrap/>
            <w:hideMark/>
          </w:tcPr>
          <w:p w14:paraId="26F48A5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45" w:type="dxa"/>
            <w:noWrap/>
            <w:hideMark/>
          </w:tcPr>
          <w:p w14:paraId="0E6CCBC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6" w:type="dxa"/>
            <w:noWrap/>
            <w:hideMark/>
          </w:tcPr>
          <w:p w14:paraId="7ED281C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6CC8E1F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191AF8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D08809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66" w:type="dxa"/>
            <w:noWrap/>
            <w:hideMark/>
          </w:tcPr>
          <w:p w14:paraId="4A3964D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6DE531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6A25672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7F4056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2781563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27D5E64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53F0319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3163295A"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3335FFA3"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6TW</w:t>
            </w:r>
          </w:p>
        </w:tc>
        <w:tc>
          <w:tcPr>
            <w:tcW w:w="666" w:type="dxa"/>
            <w:noWrap/>
            <w:hideMark/>
          </w:tcPr>
          <w:p w14:paraId="399CDC9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-0.05</w:t>
            </w:r>
          </w:p>
        </w:tc>
        <w:tc>
          <w:tcPr>
            <w:tcW w:w="645" w:type="dxa"/>
            <w:noWrap/>
            <w:hideMark/>
          </w:tcPr>
          <w:p w14:paraId="51C6840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6" w:type="dxa"/>
            <w:noWrap/>
            <w:hideMark/>
          </w:tcPr>
          <w:p w14:paraId="47C4338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4CFA596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B4397B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2B1FE0C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66" w:type="dxa"/>
            <w:noWrap/>
            <w:hideMark/>
          </w:tcPr>
          <w:p w14:paraId="010027D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E041C6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EC2339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B43338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5C1D8B8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747DA14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12A0798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7A29890D"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44363E75"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6DY</w:t>
            </w:r>
          </w:p>
        </w:tc>
        <w:tc>
          <w:tcPr>
            <w:tcW w:w="666" w:type="dxa"/>
            <w:noWrap/>
            <w:hideMark/>
          </w:tcPr>
          <w:p w14:paraId="7006E36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-0.33</w:t>
            </w:r>
          </w:p>
        </w:tc>
        <w:tc>
          <w:tcPr>
            <w:tcW w:w="645" w:type="dxa"/>
            <w:noWrap/>
            <w:hideMark/>
          </w:tcPr>
          <w:p w14:paraId="534E922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-0.28</w:t>
            </w:r>
          </w:p>
        </w:tc>
        <w:tc>
          <w:tcPr>
            <w:tcW w:w="636" w:type="dxa"/>
            <w:noWrap/>
            <w:hideMark/>
          </w:tcPr>
          <w:p w14:paraId="084AA53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45" w:type="dxa"/>
            <w:noWrap/>
            <w:hideMark/>
          </w:tcPr>
          <w:p w14:paraId="32AFD7F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EFBE03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FD46EA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66" w:type="dxa"/>
            <w:noWrap/>
            <w:hideMark/>
          </w:tcPr>
          <w:p w14:paraId="53A5AEA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629CFB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5D11E51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28F504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F072C8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7143F92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57B948C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4E95F2A0"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267BAF9C"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6BW</w:t>
            </w:r>
          </w:p>
        </w:tc>
        <w:tc>
          <w:tcPr>
            <w:tcW w:w="666" w:type="dxa"/>
            <w:noWrap/>
            <w:hideMark/>
          </w:tcPr>
          <w:p w14:paraId="720CBF1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0.24</w:t>
            </w:r>
          </w:p>
        </w:tc>
        <w:tc>
          <w:tcPr>
            <w:tcW w:w="645" w:type="dxa"/>
            <w:noWrap/>
            <w:hideMark/>
          </w:tcPr>
          <w:p w14:paraId="6E0D051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0.28</w:t>
            </w:r>
          </w:p>
        </w:tc>
        <w:tc>
          <w:tcPr>
            <w:tcW w:w="636" w:type="dxa"/>
            <w:noWrap/>
            <w:hideMark/>
          </w:tcPr>
          <w:p w14:paraId="048934E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-0.80</w:t>
            </w:r>
          </w:p>
        </w:tc>
        <w:tc>
          <w:tcPr>
            <w:tcW w:w="645" w:type="dxa"/>
            <w:noWrap/>
            <w:hideMark/>
          </w:tcPr>
          <w:p w14:paraId="1EBE300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0145F87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459478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66" w:type="dxa"/>
            <w:noWrap/>
            <w:hideMark/>
          </w:tcPr>
          <w:p w14:paraId="201A6B5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0942DA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FA7A1E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CFBE78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06EDE52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6F7C20F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0808A45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1EEE588D"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6989CD79"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6CR</w:t>
            </w:r>
          </w:p>
        </w:tc>
        <w:tc>
          <w:tcPr>
            <w:tcW w:w="666" w:type="dxa"/>
            <w:noWrap/>
            <w:hideMark/>
          </w:tcPr>
          <w:p w14:paraId="669C83A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-0.15</w:t>
            </w:r>
          </w:p>
        </w:tc>
        <w:tc>
          <w:tcPr>
            <w:tcW w:w="645" w:type="dxa"/>
            <w:noWrap/>
            <w:hideMark/>
          </w:tcPr>
          <w:p w14:paraId="1D72AE2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0.58</w:t>
            </w:r>
          </w:p>
        </w:tc>
        <w:tc>
          <w:tcPr>
            <w:tcW w:w="636" w:type="dxa"/>
            <w:noWrap/>
            <w:hideMark/>
          </w:tcPr>
          <w:p w14:paraId="5390C36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-0.41</w:t>
            </w:r>
          </w:p>
        </w:tc>
        <w:tc>
          <w:tcPr>
            <w:tcW w:w="645" w:type="dxa"/>
            <w:noWrap/>
            <w:hideMark/>
          </w:tcPr>
          <w:p w14:paraId="73A4EBB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0.20</w:t>
            </w:r>
          </w:p>
        </w:tc>
        <w:tc>
          <w:tcPr>
            <w:tcW w:w="637" w:type="dxa"/>
            <w:noWrap/>
            <w:hideMark/>
          </w:tcPr>
          <w:p w14:paraId="18F4504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6FB9A56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66" w:type="dxa"/>
            <w:noWrap/>
            <w:hideMark/>
          </w:tcPr>
          <w:p w14:paraId="400BAE9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1B36DEC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230E64E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A4179C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CE9F0A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75C13DC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116D089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7A8B8328"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38C7E3B4"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6IS</w:t>
            </w:r>
          </w:p>
        </w:tc>
        <w:tc>
          <w:tcPr>
            <w:tcW w:w="666" w:type="dxa"/>
            <w:noWrap/>
            <w:hideMark/>
          </w:tcPr>
          <w:p w14:paraId="677738F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0.03</w:t>
            </w:r>
          </w:p>
        </w:tc>
        <w:tc>
          <w:tcPr>
            <w:tcW w:w="645" w:type="dxa"/>
            <w:noWrap/>
            <w:hideMark/>
          </w:tcPr>
          <w:p w14:paraId="63D268D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0.10</w:t>
            </w:r>
          </w:p>
        </w:tc>
        <w:tc>
          <w:tcPr>
            <w:tcW w:w="636" w:type="dxa"/>
            <w:noWrap/>
            <w:hideMark/>
          </w:tcPr>
          <w:p w14:paraId="1A0D415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-0.31</w:t>
            </w:r>
          </w:p>
        </w:tc>
        <w:tc>
          <w:tcPr>
            <w:tcW w:w="645" w:type="dxa"/>
            <w:noWrap/>
            <w:hideMark/>
          </w:tcPr>
          <w:p w14:paraId="0990B81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0.14</w:t>
            </w:r>
          </w:p>
        </w:tc>
        <w:tc>
          <w:tcPr>
            <w:tcW w:w="637" w:type="dxa"/>
            <w:noWrap/>
            <w:hideMark/>
          </w:tcPr>
          <w:p w14:paraId="0FF4270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-0.02</w:t>
            </w:r>
          </w:p>
        </w:tc>
        <w:tc>
          <w:tcPr>
            <w:tcW w:w="637" w:type="dxa"/>
            <w:noWrap/>
            <w:hideMark/>
          </w:tcPr>
          <w:p w14:paraId="2488E52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66" w:type="dxa"/>
            <w:noWrap/>
            <w:hideMark/>
          </w:tcPr>
          <w:p w14:paraId="32CB947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470C1CE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6BEC60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4FBFE62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0FECC6A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098CAFE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7545319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292743A9"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55337C8F"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7WH</w:t>
            </w:r>
          </w:p>
        </w:tc>
        <w:tc>
          <w:tcPr>
            <w:tcW w:w="666" w:type="dxa"/>
            <w:noWrap/>
            <w:hideMark/>
          </w:tcPr>
          <w:p w14:paraId="333E4A8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0.96</w:t>
            </w:r>
          </w:p>
        </w:tc>
        <w:tc>
          <w:tcPr>
            <w:tcW w:w="645" w:type="dxa"/>
            <w:noWrap/>
            <w:hideMark/>
          </w:tcPr>
          <w:p w14:paraId="77BCCE1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0.07</w:t>
            </w:r>
          </w:p>
        </w:tc>
        <w:tc>
          <w:tcPr>
            <w:tcW w:w="636" w:type="dxa"/>
            <w:noWrap/>
            <w:hideMark/>
          </w:tcPr>
          <w:p w14:paraId="213B2E0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-0.40</w:t>
            </w:r>
          </w:p>
        </w:tc>
        <w:tc>
          <w:tcPr>
            <w:tcW w:w="645" w:type="dxa"/>
            <w:noWrap/>
            <w:hideMark/>
          </w:tcPr>
          <w:p w14:paraId="7661D57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0.30</w:t>
            </w:r>
          </w:p>
        </w:tc>
        <w:tc>
          <w:tcPr>
            <w:tcW w:w="637" w:type="dxa"/>
            <w:noWrap/>
            <w:hideMark/>
          </w:tcPr>
          <w:p w14:paraId="22478AB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-0.08</w:t>
            </w:r>
          </w:p>
        </w:tc>
        <w:tc>
          <w:tcPr>
            <w:tcW w:w="637" w:type="dxa"/>
            <w:noWrap/>
            <w:hideMark/>
          </w:tcPr>
          <w:p w14:paraId="2DA1E08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0.06</w:t>
            </w:r>
          </w:p>
        </w:tc>
        <w:tc>
          <w:tcPr>
            <w:tcW w:w="666" w:type="dxa"/>
            <w:noWrap/>
            <w:hideMark/>
          </w:tcPr>
          <w:p w14:paraId="362E940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33F177E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5190DA7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D18E38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7EDCF6D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7DF6D00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009682D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0EBB5C45"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625B6909"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7DY</w:t>
            </w:r>
          </w:p>
        </w:tc>
        <w:tc>
          <w:tcPr>
            <w:tcW w:w="666" w:type="dxa"/>
            <w:noWrap/>
            <w:hideMark/>
          </w:tcPr>
          <w:p w14:paraId="67D95DE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-0.35</w:t>
            </w:r>
          </w:p>
        </w:tc>
        <w:tc>
          <w:tcPr>
            <w:tcW w:w="645" w:type="dxa"/>
            <w:noWrap/>
            <w:hideMark/>
          </w:tcPr>
          <w:p w14:paraId="18F4C1D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-0.37</w:t>
            </w:r>
          </w:p>
        </w:tc>
        <w:tc>
          <w:tcPr>
            <w:tcW w:w="636" w:type="dxa"/>
            <w:noWrap/>
            <w:hideMark/>
          </w:tcPr>
          <w:p w14:paraId="00BDE55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0.85</w:t>
            </w:r>
          </w:p>
        </w:tc>
        <w:tc>
          <w:tcPr>
            <w:tcW w:w="645" w:type="dxa"/>
            <w:noWrap/>
            <w:hideMark/>
          </w:tcPr>
          <w:p w14:paraId="101350C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-0.88</w:t>
            </w:r>
          </w:p>
        </w:tc>
        <w:tc>
          <w:tcPr>
            <w:tcW w:w="637" w:type="dxa"/>
            <w:noWrap/>
            <w:hideMark/>
          </w:tcPr>
          <w:p w14:paraId="500FDCC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-0.20</w:t>
            </w:r>
          </w:p>
        </w:tc>
        <w:tc>
          <w:tcPr>
            <w:tcW w:w="637" w:type="dxa"/>
            <w:noWrap/>
            <w:hideMark/>
          </w:tcPr>
          <w:p w14:paraId="0B94CF5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-0.12</w:t>
            </w:r>
          </w:p>
        </w:tc>
        <w:tc>
          <w:tcPr>
            <w:tcW w:w="666" w:type="dxa"/>
            <w:noWrap/>
            <w:hideMark/>
          </w:tcPr>
          <w:p w14:paraId="66E3EC8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-0.37</w:t>
            </w:r>
          </w:p>
        </w:tc>
        <w:tc>
          <w:tcPr>
            <w:tcW w:w="637" w:type="dxa"/>
            <w:noWrap/>
            <w:hideMark/>
          </w:tcPr>
          <w:p w14:paraId="50F5539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6E95180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68C6CF2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2E050D1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12D3041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4451BC8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1A62749B"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44CF7DE3"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7IS</w:t>
            </w:r>
          </w:p>
        </w:tc>
        <w:tc>
          <w:tcPr>
            <w:tcW w:w="666" w:type="dxa"/>
            <w:noWrap/>
            <w:hideMark/>
          </w:tcPr>
          <w:p w14:paraId="671D377E"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0.08</w:t>
            </w:r>
          </w:p>
        </w:tc>
        <w:tc>
          <w:tcPr>
            <w:tcW w:w="645" w:type="dxa"/>
            <w:noWrap/>
            <w:hideMark/>
          </w:tcPr>
          <w:p w14:paraId="66E6C84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0.23</w:t>
            </w:r>
          </w:p>
        </w:tc>
        <w:tc>
          <w:tcPr>
            <w:tcW w:w="636" w:type="dxa"/>
            <w:noWrap/>
            <w:hideMark/>
          </w:tcPr>
          <w:p w14:paraId="3E9ED83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-0.43</w:t>
            </w:r>
          </w:p>
        </w:tc>
        <w:tc>
          <w:tcPr>
            <w:tcW w:w="645" w:type="dxa"/>
            <w:noWrap/>
            <w:hideMark/>
          </w:tcPr>
          <w:p w14:paraId="6ED8755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0.31</w:t>
            </w:r>
          </w:p>
        </w:tc>
        <w:tc>
          <w:tcPr>
            <w:tcW w:w="637" w:type="dxa"/>
            <w:noWrap/>
            <w:hideMark/>
          </w:tcPr>
          <w:p w14:paraId="011A648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0.03</w:t>
            </w:r>
          </w:p>
        </w:tc>
        <w:tc>
          <w:tcPr>
            <w:tcW w:w="637" w:type="dxa"/>
            <w:noWrap/>
            <w:hideMark/>
          </w:tcPr>
          <w:p w14:paraId="6C8F1AF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0.98</w:t>
            </w:r>
          </w:p>
        </w:tc>
        <w:tc>
          <w:tcPr>
            <w:tcW w:w="666" w:type="dxa"/>
            <w:noWrap/>
            <w:hideMark/>
          </w:tcPr>
          <w:p w14:paraId="4909FE4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0.13</w:t>
            </w:r>
          </w:p>
        </w:tc>
        <w:tc>
          <w:tcPr>
            <w:tcW w:w="637" w:type="dxa"/>
            <w:noWrap/>
            <w:hideMark/>
          </w:tcPr>
          <w:p w14:paraId="1F6C9D9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-0.29</w:t>
            </w:r>
          </w:p>
        </w:tc>
        <w:tc>
          <w:tcPr>
            <w:tcW w:w="637" w:type="dxa"/>
            <w:noWrap/>
            <w:hideMark/>
          </w:tcPr>
          <w:p w14:paraId="24E5B13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1ACCA09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37" w:type="dxa"/>
            <w:noWrap/>
            <w:hideMark/>
          </w:tcPr>
          <w:p w14:paraId="373A76C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58EAD48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43E7458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18F2BF55"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4E2012C2"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7CR</w:t>
            </w:r>
          </w:p>
        </w:tc>
        <w:tc>
          <w:tcPr>
            <w:tcW w:w="666" w:type="dxa"/>
            <w:noWrap/>
            <w:hideMark/>
          </w:tcPr>
          <w:p w14:paraId="3F7C7C0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-0.14</w:t>
            </w:r>
          </w:p>
        </w:tc>
        <w:tc>
          <w:tcPr>
            <w:tcW w:w="645" w:type="dxa"/>
            <w:noWrap/>
            <w:hideMark/>
          </w:tcPr>
          <w:p w14:paraId="25AE494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0.62</w:t>
            </w:r>
          </w:p>
        </w:tc>
        <w:tc>
          <w:tcPr>
            <w:tcW w:w="636" w:type="dxa"/>
            <w:noWrap/>
            <w:hideMark/>
          </w:tcPr>
          <w:p w14:paraId="2A3DAF2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-0.51</w:t>
            </w:r>
          </w:p>
        </w:tc>
        <w:tc>
          <w:tcPr>
            <w:tcW w:w="645" w:type="dxa"/>
            <w:noWrap/>
            <w:hideMark/>
          </w:tcPr>
          <w:p w14:paraId="1B75A29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0.35</w:t>
            </w:r>
          </w:p>
        </w:tc>
        <w:tc>
          <w:tcPr>
            <w:tcW w:w="637" w:type="dxa"/>
            <w:noWrap/>
            <w:hideMark/>
          </w:tcPr>
          <w:p w14:paraId="0AEB6DE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0.99</w:t>
            </w:r>
          </w:p>
        </w:tc>
        <w:tc>
          <w:tcPr>
            <w:tcW w:w="637" w:type="dxa"/>
            <w:noWrap/>
            <w:hideMark/>
          </w:tcPr>
          <w:p w14:paraId="04E2D6E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0.02</w:t>
            </w:r>
          </w:p>
        </w:tc>
        <w:tc>
          <w:tcPr>
            <w:tcW w:w="666" w:type="dxa"/>
            <w:noWrap/>
            <w:hideMark/>
          </w:tcPr>
          <w:p w14:paraId="0D5A71E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-0.06</w:t>
            </w:r>
          </w:p>
        </w:tc>
        <w:tc>
          <w:tcPr>
            <w:tcW w:w="637" w:type="dxa"/>
            <w:noWrap/>
            <w:hideMark/>
          </w:tcPr>
          <w:p w14:paraId="61D0373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-0.33</w:t>
            </w:r>
          </w:p>
        </w:tc>
        <w:tc>
          <w:tcPr>
            <w:tcW w:w="637" w:type="dxa"/>
            <w:noWrap/>
            <w:hideMark/>
          </w:tcPr>
          <w:p w14:paraId="0BE2BE0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0.09</w:t>
            </w:r>
          </w:p>
        </w:tc>
        <w:tc>
          <w:tcPr>
            <w:tcW w:w="637" w:type="dxa"/>
            <w:noWrap/>
            <w:hideMark/>
          </w:tcPr>
          <w:p w14:paraId="149FE65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37" w:type="dxa"/>
            <w:noWrap/>
            <w:hideMark/>
          </w:tcPr>
          <w:p w14:paraId="5555218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3DF4042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5550D47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0FA26271"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33A2CFE9"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7DS</w:t>
            </w:r>
          </w:p>
        </w:tc>
        <w:tc>
          <w:tcPr>
            <w:tcW w:w="666" w:type="dxa"/>
            <w:noWrap/>
            <w:hideMark/>
          </w:tcPr>
          <w:p w14:paraId="080EE1A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0.36</w:t>
            </w:r>
          </w:p>
        </w:tc>
        <w:tc>
          <w:tcPr>
            <w:tcW w:w="645" w:type="dxa"/>
            <w:noWrap/>
            <w:hideMark/>
          </w:tcPr>
          <w:p w14:paraId="3DF4A75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0.00</w:t>
            </w:r>
          </w:p>
        </w:tc>
        <w:tc>
          <w:tcPr>
            <w:tcW w:w="636" w:type="dxa"/>
            <w:noWrap/>
            <w:hideMark/>
          </w:tcPr>
          <w:p w14:paraId="6DC50B0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-0.04</w:t>
            </w:r>
          </w:p>
        </w:tc>
        <w:tc>
          <w:tcPr>
            <w:tcW w:w="645" w:type="dxa"/>
            <w:noWrap/>
            <w:hideMark/>
          </w:tcPr>
          <w:p w14:paraId="3B45C605"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-0.05</w:t>
            </w:r>
          </w:p>
        </w:tc>
        <w:tc>
          <w:tcPr>
            <w:tcW w:w="637" w:type="dxa"/>
            <w:noWrap/>
            <w:hideMark/>
          </w:tcPr>
          <w:p w14:paraId="7ECA6EA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-0.04</w:t>
            </w:r>
          </w:p>
        </w:tc>
        <w:tc>
          <w:tcPr>
            <w:tcW w:w="637" w:type="dxa"/>
            <w:noWrap/>
            <w:hideMark/>
          </w:tcPr>
          <w:p w14:paraId="3702F4E6"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-0.02</w:t>
            </w:r>
          </w:p>
        </w:tc>
        <w:tc>
          <w:tcPr>
            <w:tcW w:w="666" w:type="dxa"/>
            <w:noWrap/>
            <w:hideMark/>
          </w:tcPr>
          <w:p w14:paraId="0779F04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0.18</w:t>
            </w:r>
          </w:p>
        </w:tc>
        <w:tc>
          <w:tcPr>
            <w:tcW w:w="637" w:type="dxa"/>
            <w:noWrap/>
            <w:hideMark/>
          </w:tcPr>
          <w:p w14:paraId="6C047E28"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-0.22</w:t>
            </w:r>
          </w:p>
        </w:tc>
        <w:tc>
          <w:tcPr>
            <w:tcW w:w="637" w:type="dxa"/>
            <w:noWrap/>
            <w:hideMark/>
          </w:tcPr>
          <w:p w14:paraId="0368A99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0.01</w:t>
            </w:r>
          </w:p>
        </w:tc>
        <w:tc>
          <w:tcPr>
            <w:tcW w:w="637" w:type="dxa"/>
            <w:noWrap/>
            <w:hideMark/>
          </w:tcPr>
          <w:p w14:paraId="613FA0D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-0.05</w:t>
            </w:r>
          </w:p>
        </w:tc>
        <w:tc>
          <w:tcPr>
            <w:tcW w:w="637" w:type="dxa"/>
            <w:noWrap/>
            <w:hideMark/>
          </w:tcPr>
          <w:p w14:paraId="610AF3E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45" w:type="dxa"/>
            <w:noWrap/>
            <w:hideMark/>
          </w:tcPr>
          <w:p w14:paraId="7C3CF3C2"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c>
          <w:tcPr>
            <w:tcW w:w="645" w:type="dxa"/>
            <w:noWrap/>
            <w:hideMark/>
          </w:tcPr>
          <w:p w14:paraId="496054C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4385153B" w14:textId="77777777" w:rsidTr="00E00912">
        <w:trPr>
          <w:trHeight w:val="332"/>
        </w:trPr>
        <w:tc>
          <w:tcPr>
            <w:cnfStyle w:val="001000000000" w:firstRow="0" w:lastRow="0" w:firstColumn="1" w:lastColumn="0" w:oddVBand="0" w:evenVBand="0" w:oddHBand="0" w:evenHBand="0" w:firstRowFirstColumn="0" w:firstRowLastColumn="0" w:lastRowFirstColumn="0" w:lastRowLastColumn="0"/>
            <w:tcW w:w="666" w:type="dxa"/>
          </w:tcPr>
          <w:p w14:paraId="63A74956"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7TW</w:t>
            </w:r>
          </w:p>
        </w:tc>
        <w:tc>
          <w:tcPr>
            <w:tcW w:w="666" w:type="dxa"/>
            <w:noWrap/>
            <w:hideMark/>
          </w:tcPr>
          <w:p w14:paraId="23B5629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-0.08</w:t>
            </w:r>
          </w:p>
        </w:tc>
        <w:tc>
          <w:tcPr>
            <w:tcW w:w="645" w:type="dxa"/>
            <w:noWrap/>
            <w:hideMark/>
          </w:tcPr>
          <w:p w14:paraId="0094792D"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1.00</w:t>
            </w:r>
          </w:p>
        </w:tc>
        <w:tc>
          <w:tcPr>
            <w:tcW w:w="636" w:type="dxa"/>
            <w:noWrap/>
            <w:hideMark/>
          </w:tcPr>
          <w:p w14:paraId="5AF974E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-0.22</w:t>
            </w:r>
          </w:p>
        </w:tc>
        <w:tc>
          <w:tcPr>
            <w:tcW w:w="645" w:type="dxa"/>
            <w:noWrap/>
            <w:hideMark/>
          </w:tcPr>
          <w:p w14:paraId="2F06E60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0.22</w:t>
            </w:r>
          </w:p>
        </w:tc>
        <w:tc>
          <w:tcPr>
            <w:tcW w:w="637" w:type="dxa"/>
            <w:noWrap/>
            <w:hideMark/>
          </w:tcPr>
          <w:p w14:paraId="36B2DE7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0.57</w:t>
            </w:r>
          </w:p>
        </w:tc>
        <w:tc>
          <w:tcPr>
            <w:tcW w:w="637" w:type="dxa"/>
            <w:noWrap/>
            <w:hideMark/>
          </w:tcPr>
          <w:p w14:paraId="070CC80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0.05</w:t>
            </w:r>
          </w:p>
        </w:tc>
        <w:tc>
          <w:tcPr>
            <w:tcW w:w="666" w:type="dxa"/>
            <w:noWrap/>
            <w:hideMark/>
          </w:tcPr>
          <w:p w14:paraId="1063989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0.04</w:t>
            </w:r>
          </w:p>
        </w:tc>
        <w:tc>
          <w:tcPr>
            <w:tcW w:w="637" w:type="dxa"/>
            <w:noWrap/>
            <w:hideMark/>
          </w:tcPr>
          <w:p w14:paraId="57E22BC7"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-0.31</w:t>
            </w:r>
          </w:p>
        </w:tc>
        <w:tc>
          <w:tcPr>
            <w:tcW w:w="637" w:type="dxa"/>
            <w:noWrap/>
            <w:hideMark/>
          </w:tcPr>
          <w:p w14:paraId="1AB6575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0.17</w:t>
            </w:r>
          </w:p>
        </w:tc>
        <w:tc>
          <w:tcPr>
            <w:tcW w:w="637" w:type="dxa"/>
            <w:noWrap/>
            <w:hideMark/>
          </w:tcPr>
          <w:p w14:paraId="6041B3F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0.59</w:t>
            </w:r>
          </w:p>
        </w:tc>
        <w:tc>
          <w:tcPr>
            <w:tcW w:w="637" w:type="dxa"/>
            <w:noWrap/>
            <w:hideMark/>
          </w:tcPr>
          <w:p w14:paraId="53A110BF"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-0.02</w:t>
            </w:r>
          </w:p>
        </w:tc>
        <w:tc>
          <w:tcPr>
            <w:tcW w:w="645" w:type="dxa"/>
            <w:noWrap/>
            <w:hideMark/>
          </w:tcPr>
          <w:p w14:paraId="650C545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c>
          <w:tcPr>
            <w:tcW w:w="645" w:type="dxa"/>
            <w:noWrap/>
            <w:hideMark/>
          </w:tcPr>
          <w:p w14:paraId="250B749B"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p>
        </w:tc>
      </w:tr>
      <w:tr w:rsidR="005C6576" w:rsidRPr="00E66FEA" w14:paraId="33B83D6E" w14:textId="77777777" w:rsidTr="00E00912">
        <w:trPr>
          <w:trHeight w:val="344"/>
        </w:trPr>
        <w:tc>
          <w:tcPr>
            <w:cnfStyle w:val="001000000000" w:firstRow="0" w:lastRow="0" w:firstColumn="1" w:lastColumn="0" w:oddVBand="0" w:evenVBand="0" w:oddHBand="0" w:evenHBand="0" w:firstRowFirstColumn="0" w:firstRowLastColumn="0" w:lastRowFirstColumn="0" w:lastRowLastColumn="0"/>
            <w:tcW w:w="666" w:type="dxa"/>
          </w:tcPr>
          <w:p w14:paraId="638C57BE" w14:textId="77777777" w:rsidR="005C6576" w:rsidRPr="00E66FEA" w:rsidRDefault="005C6576" w:rsidP="00E00912">
            <w:pPr>
              <w:spacing w:line="360" w:lineRule="auto"/>
              <w:jc w:val="both"/>
              <w:rPr>
                <w:rFonts w:eastAsia="Times New Roman"/>
                <w:color w:val="auto"/>
                <w:sz w:val="20"/>
                <w:szCs w:val="20"/>
                <w:lang w:eastAsia="en-IN"/>
              </w:rPr>
            </w:pPr>
            <w:r w:rsidRPr="00E66FEA">
              <w:rPr>
                <w:rFonts w:eastAsia="Times New Roman"/>
                <w:color w:val="auto"/>
                <w:sz w:val="20"/>
                <w:szCs w:val="20"/>
                <w:lang w:eastAsia="en-IN"/>
              </w:rPr>
              <w:t>7BW</w:t>
            </w:r>
          </w:p>
        </w:tc>
        <w:tc>
          <w:tcPr>
            <w:tcW w:w="666" w:type="dxa"/>
            <w:noWrap/>
            <w:hideMark/>
          </w:tcPr>
          <w:p w14:paraId="1A0EEFA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-0.18</w:t>
            </w:r>
          </w:p>
        </w:tc>
        <w:tc>
          <w:tcPr>
            <w:tcW w:w="645" w:type="dxa"/>
            <w:noWrap/>
            <w:hideMark/>
          </w:tcPr>
          <w:p w14:paraId="4A0D05D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0.08</w:t>
            </w:r>
          </w:p>
        </w:tc>
        <w:tc>
          <w:tcPr>
            <w:tcW w:w="636" w:type="dxa"/>
            <w:noWrap/>
            <w:hideMark/>
          </w:tcPr>
          <w:p w14:paraId="70A665C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-0.42</w:t>
            </w:r>
          </w:p>
        </w:tc>
        <w:tc>
          <w:tcPr>
            <w:tcW w:w="645" w:type="dxa"/>
            <w:noWrap/>
            <w:hideMark/>
          </w:tcPr>
          <w:p w14:paraId="3A9B0DC9"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bCs/>
                <w:color w:val="auto"/>
                <w:sz w:val="20"/>
                <w:szCs w:val="20"/>
                <w:lang w:eastAsia="en-IN"/>
              </w:rPr>
            </w:pPr>
            <w:r w:rsidRPr="00E66FEA">
              <w:rPr>
                <w:rFonts w:eastAsia="Times New Roman"/>
                <w:bCs/>
                <w:color w:val="auto"/>
                <w:sz w:val="20"/>
                <w:szCs w:val="20"/>
                <w:lang w:eastAsia="en-IN"/>
              </w:rPr>
              <w:t>0.82</w:t>
            </w:r>
          </w:p>
        </w:tc>
        <w:tc>
          <w:tcPr>
            <w:tcW w:w="637" w:type="dxa"/>
            <w:noWrap/>
            <w:hideMark/>
          </w:tcPr>
          <w:p w14:paraId="696C9BF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-0.01</w:t>
            </w:r>
          </w:p>
        </w:tc>
        <w:tc>
          <w:tcPr>
            <w:tcW w:w="637" w:type="dxa"/>
            <w:noWrap/>
            <w:hideMark/>
          </w:tcPr>
          <w:p w14:paraId="06A8BC5C"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0.04</w:t>
            </w:r>
          </w:p>
        </w:tc>
        <w:tc>
          <w:tcPr>
            <w:tcW w:w="666" w:type="dxa"/>
            <w:noWrap/>
            <w:hideMark/>
          </w:tcPr>
          <w:p w14:paraId="124ED68A"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-0.18</w:t>
            </w:r>
          </w:p>
        </w:tc>
        <w:tc>
          <w:tcPr>
            <w:tcW w:w="637" w:type="dxa"/>
            <w:noWrap/>
            <w:hideMark/>
          </w:tcPr>
          <w:p w14:paraId="758919B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-0.64</w:t>
            </w:r>
          </w:p>
        </w:tc>
        <w:tc>
          <w:tcPr>
            <w:tcW w:w="637" w:type="dxa"/>
            <w:noWrap/>
            <w:hideMark/>
          </w:tcPr>
          <w:p w14:paraId="27AB5F9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0.16</w:t>
            </w:r>
          </w:p>
        </w:tc>
        <w:tc>
          <w:tcPr>
            <w:tcW w:w="637" w:type="dxa"/>
            <w:noWrap/>
            <w:hideMark/>
          </w:tcPr>
          <w:p w14:paraId="747DDD11"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0.12</w:t>
            </w:r>
          </w:p>
        </w:tc>
        <w:tc>
          <w:tcPr>
            <w:tcW w:w="637" w:type="dxa"/>
            <w:noWrap/>
            <w:hideMark/>
          </w:tcPr>
          <w:p w14:paraId="1B96D980"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-0.19</w:t>
            </w:r>
          </w:p>
        </w:tc>
        <w:tc>
          <w:tcPr>
            <w:tcW w:w="645" w:type="dxa"/>
            <w:noWrap/>
            <w:hideMark/>
          </w:tcPr>
          <w:p w14:paraId="0522D4F3"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0.04</w:t>
            </w:r>
          </w:p>
        </w:tc>
        <w:tc>
          <w:tcPr>
            <w:tcW w:w="645" w:type="dxa"/>
            <w:noWrap/>
            <w:hideMark/>
          </w:tcPr>
          <w:p w14:paraId="245032C4" w14:textId="77777777" w:rsidR="005C6576" w:rsidRPr="00E66FEA" w:rsidRDefault="005C6576" w:rsidP="00E00912">
            <w:pPr>
              <w:spacing w:line="360" w:lineRule="auto"/>
              <w:jc w:val="both"/>
              <w:cnfStyle w:val="000000000000" w:firstRow="0" w:lastRow="0" w:firstColumn="0" w:lastColumn="0" w:oddVBand="0" w:evenVBand="0" w:oddHBand="0" w:evenHBand="0" w:firstRowFirstColumn="0" w:firstRowLastColumn="0" w:lastRowFirstColumn="0" w:lastRowLastColumn="0"/>
              <w:rPr>
                <w:rFonts w:eastAsia="Times New Roman"/>
                <w:color w:val="auto"/>
                <w:sz w:val="20"/>
                <w:szCs w:val="20"/>
                <w:lang w:eastAsia="en-IN"/>
              </w:rPr>
            </w:pPr>
            <w:r w:rsidRPr="00E66FEA">
              <w:rPr>
                <w:rFonts w:eastAsia="Times New Roman"/>
                <w:color w:val="auto"/>
                <w:sz w:val="20"/>
                <w:szCs w:val="20"/>
                <w:lang w:eastAsia="en-IN"/>
              </w:rPr>
              <w:t>1.00</w:t>
            </w:r>
          </w:p>
        </w:tc>
      </w:tr>
    </w:tbl>
    <w:p w14:paraId="3E196F97" w14:textId="0C3179E7" w:rsidR="005C6576" w:rsidRPr="00E66FEA" w:rsidRDefault="005C6576" w:rsidP="005C6576">
      <w:pPr>
        <w:pStyle w:val="Caption"/>
        <w:spacing w:line="360" w:lineRule="auto"/>
        <w:jc w:val="both"/>
        <w:rPr>
          <w:rFonts w:ascii="Times New Roman" w:hAnsi="Times New Roman" w:cs="Times New Roman"/>
          <w:noProof/>
          <w:color w:val="auto"/>
          <w:sz w:val="24"/>
          <w:szCs w:val="24"/>
        </w:rPr>
      </w:pPr>
      <w:bookmarkStart w:id="74" w:name="_Toc133580166"/>
      <w:r w:rsidRPr="00E66FEA">
        <w:rPr>
          <w:rFonts w:ascii="Times New Roman" w:hAnsi="Times New Roman" w:cs="Times New Roman"/>
          <w:color w:val="auto"/>
          <w:sz w:val="24"/>
          <w:szCs w:val="24"/>
        </w:rPr>
        <w:t xml:space="preserve">Table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Table_4.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2</w:t>
      </w:r>
      <w:r w:rsidRPr="00E66FEA">
        <w:rPr>
          <w:rFonts w:ascii="Times New Roman" w:hAnsi="Times New Roman" w:cs="Times New Roman"/>
          <w:color w:val="auto"/>
          <w:sz w:val="24"/>
          <w:szCs w:val="24"/>
        </w:rPr>
        <w:fldChar w:fldCharType="end"/>
      </w:r>
      <w:r w:rsidRPr="00E66FEA">
        <w:rPr>
          <w:rFonts w:ascii="Times New Roman" w:hAnsi="Times New Roman" w:cs="Times New Roman"/>
          <w:noProof/>
          <w:color w:val="auto"/>
          <w:sz w:val="24"/>
          <w:szCs w:val="24"/>
        </w:rPr>
        <w:t xml:space="preserve"> Correlation matrix giving R-values between 6-factor solution and 7-factor solution derived from PMF. (Factor name abbreviations: WH- wheat residue burning, TW- two wheelers, DY- mixed daytime, BW- biofuel use and waste disposal, CR- cars, IS- industrial emissions and solvent use, DS- dust)</w:t>
      </w:r>
      <w:bookmarkEnd w:id="74"/>
    </w:p>
    <w:p w14:paraId="08084CC6" w14:textId="77777777" w:rsidR="005C6576" w:rsidRPr="00E66FEA" w:rsidRDefault="005C6576" w:rsidP="00F63325">
      <w:pPr>
        <w:spacing w:after="0" w:line="360" w:lineRule="auto"/>
        <w:jc w:val="both"/>
        <w:rPr>
          <w:rFonts w:ascii="Times New Roman" w:hAnsi="Times New Roman" w:cs="Times New Roman"/>
          <w:sz w:val="24"/>
          <w:szCs w:val="24"/>
        </w:rPr>
      </w:pPr>
    </w:p>
    <w:p w14:paraId="691609C5" w14:textId="77777777" w:rsidR="00F331F1" w:rsidRPr="00E66FEA" w:rsidRDefault="00F331F1" w:rsidP="00E66FEA">
      <w:pPr>
        <w:spacing w:line="360" w:lineRule="auto"/>
        <w:jc w:val="both"/>
        <w:rPr>
          <w:rFonts w:ascii="Times New Roman" w:hAnsi="Times New Roman" w:cs="Times New Roman"/>
          <w:noProof/>
          <w:sz w:val="24"/>
          <w:szCs w:val="24"/>
        </w:rPr>
      </w:pPr>
      <w:r w:rsidRPr="00E66FEA">
        <w:rPr>
          <w:rFonts w:ascii="Times New Roman" w:hAnsi="Times New Roman" w:cs="Times New Roman"/>
          <w:noProof/>
          <w:sz w:val="24"/>
          <w:szCs w:val="24"/>
          <w:lang w:eastAsia="en-IN"/>
        </w:rPr>
        <w:lastRenderedPageBreak/>
        <w:drawing>
          <wp:inline distT="0" distB="0" distL="0" distR="0" wp14:anchorId="337F7FE8" wp14:editId="3D5AC372">
            <wp:extent cx="5731510" cy="7468235"/>
            <wp:effectExtent l="0" t="0" r="254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31510" cy="7468235"/>
                    </a:xfrm>
                    <a:prstGeom prst="rect">
                      <a:avLst/>
                    </a:prstGeom>
                    <a:noFill/>
                    <a:ln>
                      <a:noFill/>
                    </a:ln>
                  </pic:spPr>
                </pic:pic>
              </a:graphicData>
            </a:graphic>
          </wp:inline>
        </w:drawing>
      </w:r>
    </w:p>
    <w:p w14:paraId="0D81CA79" w14:textId="184BC34D" w:rsidR="00F331F1" w:rsidRPr="00E66FEA" w:rsidRDefault="003E0353" w:rsidP="00E66FEA">
      <w:pPr>
        <w:pStyle w:val="Caption"/>
        <w:spacing w:line="360" w:lineRule="auto"/>
        <w:jc w:val="both"/>
        <w:rPr>
          <w:rFonts w:ascii="Times New Roman" w:hAnsi="Times New Roman" w:cs="Times New Roman"/>
          <w:color w:val="auto"/>
          <w:sz w:val="24"/>
          <w:szCs w:val="24"/>
        </w:rPr>
      </w:pPr>
      <w:bookmarkStart w:id="75" w:name="_Toc133577944"/>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3</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Bar chart showing normalised experimental source profiles and PMF extracted factor profiles per VOC species on left axis. Right axis gives the percentage explained by each of the VOCs in the PMF model output factors.</w:t>
      </w:r>
      <w:bookmarkEnd w:id="75"/>
    </w:p>
    <w:p w14:paraId="474139C1" w14:textId="77777777" w:rsidR="00F331F1" w:rsidRPr="00E66FEA" w:rsidRDefault="00F331F1" w:rsidP="00E66FEA">
      <w:pPr>
        <w:spacing w:after="0" w:line="360" w:lineRule="auto"/>
        <w:jc w:val="both"/>
        <w:rPr>
          <w:rFonts w:ascii="Times New Roman" w:hAnsi="Times New Roman" w:cs="Times New Roman"/>
          <w:sz w:val="24"/>
          <w:szCs w:val="24"/>
        </w:rPr>
      </w:pPr>
    </w:p>
    <w:p w14:paraId="1627BF89" w14:textId="054B6EED" w:rsidR="00F331F1" w:rsidRPr="00E66FEA" w:rsidRDefault="00F331F1" w:rsidP="00E66FEA">
      <w:pPr>
        <w:keepNext/>
        <w:keepLines/>
        <w:numPr>
          <w:ilvl w:val="0"/>
          <w:numId w:val="14"/>
        </w:numPr>
        <w:spacing w:before="40" w:after="0" w:line="360" w:lineRule="auto"/>
        <w:outlineLvl w:val="1"/>
        <w:rPr>
          <w:rFonts w:ascii="Times New Roman" w:eastAsiaTheme="majorEastAsia" w:hAnsi="Times New Roman" w:cs="Times New Roman"/>
          <w:b/>
          <w:bCs/>
          <w:noProof/>
          <w:sz w:val="24"/>
          <w:szCs w:val="24"/>
        </w:rPr>
      </w:pPr>
      <w:bookmarkStart w:id="76" w:name="_Toc146809866"/>
      <w:r w:rsidRPr="00E66FEA">
        <w:rPr>
          <w:rFonts w:ascii="Times New Roman" w:eastAsiaTheme="majorEastAsia" w:hAnsi="Times New Roman" w:cs="Times New Roman"/>
          <w:b/>
          <w:bCs/>
          <w:noProof/>
          <w:sz w:val="24"/>
          <w:szCs w:val="24"/>
        </w:rPr>
        <w:lastRenderedPageBreak/>
        <w:t>Results and Discussion</w:t>
      </w:r>
      <w:bookmarkEnd w:id="76"/>
    </w:p>
    <w:p w14:paraId="0DEBA6F1" w14:textId="6301FE1B" w:rsidR="00F331F1" w:rsidRPr="00E66FEA" w:rsidRDefault="00F331F1" w:rsidP="00E66FEA">
      <w:pPr>
        <w:spacing w:line="360" w:lineRule="auto"/>
        <w:jc w:val="both"/>
        <w:rPr>
          <w:rFonts w:ascii="Times New Roman" w:hAnsi="Times New Roman" w:cs="Times New Roman"/>
          <w:noProof/>
          <w:sz w:val="24"/>
          <w:szCs w:val="24"/>
        </w:rPr>
      </w:pPr>
      <w:r w:rsidRPr="00E66FEA">
        <w:rPr>
          <w:rFonts w:ascii="Times New Roman" w:hAnsi="Times New Roman" w:cs="Times New Roman"/>
          <w:bCs/>
          <w:noProof/>
          <w:sz w:val="24"/>
          <w:szCs w:val="24"/>
        </w:rPr>
        <w:t xml:space="preserve">Ambient data versus modelled data: </w:t>
      </w:r>
      <w:r w:rsidRPr="00E66FEA">
        <w:rPr>
          <w:rFonts w:ascii="Times New Roman" w:hAnsi="Times New Roman" w:cs="Times New Roman"/>
          <w:noProof/>
          <w:sz w:val="24"/>
          <w:szCs w:val="24"/>
        </w:rPr>
        <w:t xml:space="preserve">Figure </w:t>
      </w:r>
      <w:r w:rsidR="002D6E41" w:rsidRPr="00E66FEA">
        <w:rPr>
          <w:rFonts w:ascii="Times New Roman" w:hAnsi="Times New Roman" w:cs="Times New Roman"/>
          <w:noProof/>
          <w:sz w:val="24"/>
          <w:szCs w:val="24"/>
        </w:rPr>
        <w:t>4.</w:t>
      </w:r>
      <w:r w:rsidRPr="00E66FEA">
        <w:rPr>
          <w:rFonts w:ascii="Times New Roman" w:hAnsi="Times New Roman" w:cs="Times New Roman"/>
          <w:noProof/>
          <w:sz w:val="24"/>
          <w:szCs w:val="24"/>
        </w:rPr>
        <w:t>4 illustrates a strong correlation between PMF modelled (the sum total of all factor contributions) and measured PM mass concentrations. The statistics of r</w:t>
      </w:r>
      <w:r w:rsidRPr="00E66FEA">
        <w:rPr>
          <w:rFonts w:ascii="Times New Roman" w:hAnsi="Times New Roman" w:cs="Times New Roman"/>
          <w:noProof/>
          <w:sz w:val="24"/>
          <w:szCs w:val="24"/>
          <w:vertAlign w:val="superscript"/>
        </w:rPr>
        <w:t>2</w:t>
      </w:r>
      <w:r w:rsidRPr="00E66FEA">
        <w:rPr>
          <w:rFonts w:ascii="Times New Roman" w:hAnsi="Times New Roman" w:cs="Times New Roman"/>
          <w:noProof/>
          <w:sz w:val="24"/>
          <w:szCs w:val="24"/>
        </w:rPr>
        <w:t xml:space="preserve"> and slope for PM</w:t>
      </w:r>
      <w:r w:rsidRPr="00E66FEA">
        <w:rPr>
          <w:rFonts w:ascii="Times New Roman" w:hAnsi="Times New Roman" w:cs="Times New Roman"/>
          <w:noProof/>
          <w:sz w:val="24"/>
          <w:szCs w:val="24"/>
          <w:vertAlign w:val="subscript"/>
        </w:rPr>
        <w:t>10</w:t>
      </w:r>
      <w:r w:rsidRPr="00E66FEA">
        <w:rPr>
          <w:rFonts w:ascii="Times New Roman" w:hAnsi="Times New Roman" w:cs="Times New Roman"/>
          <w:noProof/>
          <w:sz w:val="24"/>
          <w:szCs w:val="24"/>
        </w:rPr>
        <w:t xml:space="preserve"> (0.98, 0.95) and PM</w:t>
      </w:r>
      <w:r w:rsidRPr="00E66FEA">
        <w:rPr>
          <w:rFonts w:ascii="Times New Roman" w:hAnsi="Times New Roman" w:cs="Times New Roman"/>
          <w:noProof/>
          <w:sz w:val="24"/>
          <w:szCs w:val="24"/>
          <w:vertAlign w:val="subscript"/>
        </w:rPr>
        <w:t>2.5</w:t>
      </w:r>
      <w:r w:rsidRPr="00E66FEA">
        <w:rPr>
          <w:rFonts w:ascii="Times New Roman" w:hAnsi="Times New Roman" w:cs="Times New Roman"/>
          <w:noProof/>
          <w:sz w:val="24"/>
          <w:szCs w:val="24"/>
        </w:rPr>
        <w:t xml:space="preserve"> (0.97, 0.98) point out a good model fit of observed PM</w:t>
      </w:r>
      <w:r w:rsidRPr="00E66FEA">
        <w:rPr>
          <w:rFonts w:ascii="Times New Roman" w:hAnsi="Times New Roman" w:cs="Times New Roman"/>
          <w:noProof/>
          <w:sz w:val="24"/>
          <w:szCs w:val="24"/>
          <w:vertAlign w:val="subscript"/>
        </w:rPr>
        <w:t>10</w:t>
      </w:r>
      <w:r w:rsidRPr="00E66FEA">
        <w:rPr>
          <w:rFonts w:ascii="Times New Roman" w:hAnsi="Times New Roman" w:cs="Times New Roman"/>
          <w:noProof/>
          <w:sz w:val="24"/>
          <w:szCs w:val="24"/>
        </w:rPr>
        <w:t xml:space="preserve"> and PM</w:t>
      </w:r>
      <w:r w:rsidRPr="00E66FEA">
        <w:rPr>
          <w:rFonts w:ascii="Times New Roman" w:hAnsi="Times New Roman" w:cs="Times New Roman"/>
          <w:noProof/>
          <w:sz w:val="24"/>
          <w:szCs w:val="24"/>
          <w:vertAlign w:val="subscript"/>
        </w:rPr>
        <w:t>2.5</w:t>
      </w:r>
      <w:r w:rsidRPr="00E66FEA">
        <w:rPr>
          <w:rFonts w:ascii="Times New Roman" w:hAnsi="Times New Roman" w:cs="Times New Roman"/>
          <w:noProof/>
          <w:sz w:val="24"/>
          <w:szCs w:val="24"/>
        </w:rPr>
        <w:t xml:space="preserve"> concentration levels. This is evident in the observed and the predicted time series of PM</w:t>
      </w:r>
      <w:r w:rsidRPr="00E66FEA">
        <w:rPr>
          <w:rFonts w:ascii="Times New Roman" w:hAnsi="Times New Roman" w:cs="Times New Roman"/>
          <w:noProof/>
          <w:sz w:val="24"/>
          <w:szCs w:val="24"/>
          <w:vertAlign w:val="subscript"/>
        </w:rPr>
        <w:t>10</w:t>
      </w:r>
      <w:r w:rsidRPr="00E66FEA">
        <w:rPr>
          <w:rFonts w:ascii="Times New Roman" w:hAnsi="Times New Roman" w:cs="Times New Roman"/>
          <w:noProof/>
          <w:sz w:val="24"/>
          <w:szCs w:val="24"/>
        </w:rPr>
        <w:t xml:space="preserve"> and PM</w:t>
      </w:r>
      <w:r w:rsidRPr="00E66FEA">
        <w:rPr>
          <w:rFonts w:ascii="Times New Roman" w:hAnsi="Times New Roman" w:cs="Times New Roman"/>
          <w:noProof/>
          <w:sz w:val="24"/>
          <w:szCs w:val="24"/>
          <w:vertAlign w:val="subscript"/>
        </w:rPr>
        <w:t>2.5</w:t>
      </w:r>
      <w:r w:rsidRPr="00E66FEA">
        <w:rPr>
          <w:rFonts w:ascii="Times New Roman" w:hAnsi="Times New Roman" w:cs="Times New Roman"/>
          <w:noProof/>
          <w:sz w:val="24"/>
          <w:szCs w:val="24"/>
        </w:rPr>
        <w:t xml:space="preserve"> for May 2012 (Fig. </w:t>
      </w:r>
      <w:r w:rsidR="002D7FC9" w:rsidRPr="00E66FEA">
        <w:rPr>
          <w:rFonts w:ascii="Times New Roman" w:hAnsi="Times New Roman" w:cs="Times New Roman"/>
          <w:noProof/>
          <w:sz w:val="24"/>
          <w:szCs w:val="24"/>
        </w:rPr>
        <w:t>4.</w:t>
      </w:r>
      <w:r w:rsidRPr="00E66FEA">
        <w:rPr>
          <w:rFonts w:ascii="Times New Roman" w:hAnsi="Times New Roman" w:cs="Times New Roman"/>
          <w:noProof/>
          <w:sz w:val="24"/>
          <w:szCs w:val="24"/>
        </w:rPr>
        <w:t>8a). The PMF model well reproduces both the baseline and the peak values of PM</w:t>
      </w:r>
      <w:r w:rsidRPr="00E66FEA">
        <w:rPr>
          <w:rFonts w:ascii="Times New Roman" w:hAnsi="Times New Roman" w:cs="Times New Roman"/>
          <w:noProof/>
          <w:sz w:val="24"/>
          <w:szCs w:val="24"/>
          <w:vertAlign w:val="subscript"/>
        </w:rPr>
        <w:t>10</w:t>
      </w:r>
      <w:r w:rsidRPr="00E66FEA">
        <w:rPr>
          <w:rFonts w:ascii="Times New Roman" w:hAnsi="Times New Roman" w:cs="Times New Roman"/>
          <w:noProof/>
          <w:sz w:val="24"/>
          <w:szCs w:val="24"/>
        </w:rPr>
        <w:t xml:space="preserve"> and PM</w:t>
      </w:r>
      <w:r w:rsidRPr="00E66FEA">
        <w:rPr>
          <w:rFonts w:ascii="Times New Roman" w:hAnsi="Times New Roman" w:cs="Times New Roman"/>
          <w:noProof/>
          <w:sz w:val="24"/>
          <w:szCs w:val="24"/>
          <w:vertAlign w:val="subscript"/>
        </w:rPr>
        <w:t>2.5</w:t>
      </w:r>
      <w:r w:rsidRPr="00E66FEA">
        <w:rPr>
          <w:rFonts w:ascii="Times New Roman" w:hAnsi="Times New Roman" w:cs="Times New Roman"/>
          <w:noProof/>
          <w:sz w:val="24"/>
          <w:szCs w:val="24"/>
        </w:rPr>
        <w:t xml:space="preserve">. </w:t>
      </w:r>
    </w:p>
    <w:p w14:paraId="2470198F" w14:textId="77777777" w:rsidR="00F331F1" w:rsidRPr="00E66FEA" w:rsidRDefault="00F331F1" w:rsidP="005C6576">
      <w:pPr>
        <w:spacing w:line="360" w:lineRule="auto"/>
        <w:jc w:val="center"/>
        <w:rPr>
          <w:rFonts w:ascii="Times New Roman" w:hAnsi="Times New Roman" w:cs="Times New Roman"/>
          <w:noProof/>
          <w:sz w:val="24"/>
          <w:szCs w:val="24"/>
        </w:rPr>
      </w:pPr>
      <w:r w:rsidRPr="00E66FEA">
        <w:rPr>
          <w:rFonts w:ascii="Times New Roman" w:hAnsi="Times New Roman" w:cs="Times New Roman"/>
          <w:noProof/>
          <w:sz w:val="24"/>
          <w:szCs w:val="24"/>
          <w:lang w:eastAsia="en-IN"/>
        </w:rPr>
        <w:drawing>
          <wp:inline distT="0" distB="0" distL="0" distR="0" wp14:anchorId="5E08AFEC" wp14:editId="01F74B72">
            <wp:extent cx="4514850" cy="1718490"/>
            <wp:effectExtent l="0" t="0" r="0" b="0"/>
            <wp:docPr id="1948807174" name="Picture 1948807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530857" cy="1724583"/>
                    </a:xfrm>
                    <a:prstGeom prst="rect">
                      <a:avLst/>
                    </a:prstGeom>
                    <a:noFill/>
                    <a:ln>
                      <a:noFill/>
                    </a:ln>
                  </pic:spPr>
                </pic:pic>
              </a:graphicData>
            </a:graphic>
          </wp:inline>
        </w:drawing>
      </w:r>
    </w:p>
    <w:p w14:paraId="7B914AA7" w14:textId="78489DE0" w:rsidR="00F331F1" w:rsidRPr="00E66FEA" w:rsidRDefault="003E0353" w:rsidP="00E66FEA">
      <w:pPr>
        <w:pStyle w:val="Caption"/>
        <w:spacing w:line="360" w:lineRule="auto"/>
        <w:jc w:val="both"/>
        <w:rPr>
          <w:rFonts w:ascii="Times New Roman" w:hAnsi="Times New Roman" w:cs="Times New Roman"/>
          <w:noProof/>
          <w:color w:val="auto"/>
          <w:sz w:val="24"/>
          <w:szCs w:val="24"/>
        </w:rPr>
      </w:pPr>
      <w:bookmarkStart w:id="77" w:name="_Toc133577945"/>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4</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Correlation between PMF model estimates and observed PM mass concentrations.</w:t>
      </w:r>
      <w:bookmarkEnd w:id="77"/>
    </w:p>
    <w:p w14:paraId="0FE9E25B" w14:textId="053DEA82" w:rsidR="00F331F1" w:rsidRPr="00E66FEA" w:rsidRDefault="00F331F1" w:rsidP="00E66FEA">
      <w:pPr>
        <w:pStyle w:val="ListParagraph"/>
        <w:keepNext/>
        <w:keepLines/>
        <w:numPr>
          <w:ilvl w:val="2"/>
          <w:numId w:val="26"/>
        </w:numPr>
        <w:spacing w:before="40" w:after="0" w:line="360" w:lineRule="auto"/>
        <w:outlineLvl w:val="3"/>
        <w:rPr>
          <w:rFonts w:ascii="Times New Roman" w:eastAsiaTheme="majorEastAsia" w:hAnsi="Times New Roman" w:cs="Times New Roman"/>
          <w:b/>
          <w:bCs/>
          <w:noProof/>
          <w:sz w:val="24"/>
          <w:szCs w:val="24"/>
        </w:rPr>
      </w:pPr>
      <w:r w:rsidRPr="00E66FEA">
        <w:rPr>
          <w:rFonts w:ascii="Times New Roman" w:eastAsiaTheme="majorEastAsia" w:hAnsi="Times New Roman" w:cs="Times New Roman"/>
          <w:b/>
          <w:bCs/>
          <w:noProof/>
          <w:sz w:val="24"/>
          <w:szCs w:val="24"/>
        </w:rPr>
        <w:t>PMF data analysis</w:t>
      </w:r>
    </w:p>
    <w:p w14:paraId="30C01E72" w14:textId="77777777" w:rsidR="00614C5D" w:rsidRPr="00614C5D" w:rsidRDefault="00F331F1" w:rsidP="00614C5D">
      <w:pPr>
        <w:spacing w:line="360" w:lineRule="auto"/>
        <w:jc w:val="both"/>
        <w:rPr>
          <w:rFonts w:ascii="Times New Roman" w:hAnsi="Times New Roman" w:cs="Times New Roman"/>
          <w:bCs/>
          <w:noProof/>
          <w:sz w:val="24"/>
          <w:szCs w:val="24"/>
        </w:rPr>
      </w:pPr>
      <w:r w:rsidRPr="00614C5D">
        <w:rPr>
          <w:rFonts w:ascii="Times New Roman" w:hAnsi="Times New Roman" w:cs="Times New Roman"/>
          <w:b/>
          <w:noProof/>
          <w:sz w:val="24"/>
          <w:szCs w:val="24"/>
        </w:rPr>
        <w:t>Factor profiles:</w:t>
      </w:r>
      <w:r w:rsidRPr="00E66FEA">
        <w:rPr>
          <w:rFonts w:ascii="Times New Roman" w:hAnsi="Times New Roman" w:cs="Times New Roman"/>
          <w:bCs/>
          <w:noProof/>
          <w:sz w:val="24"/>
          <w:szCs w:val="24"/>
        </w:rPr>
        <w:t xml:space="preserve"> </w:t>
      </w:r>
      <w:r w:rsidR="00614C5D" w:rsidRPr="00614C5D">
        <w:rPr>
          <w:rFonts w:ascii="Times New Roman" w:hAnsi="Times New Roman" w:cs="Times New Roman"/>
          <w:bCs/>
          <w:noProof/>
          <w:sz w:val="24"/>
          <w:szCs w:val="24"/>
        </w:rPr>
        <w:t>7-factor solution by the PMF model suitably explained the variability in a current dataset of PM and VOCs measured at Mohali. PM</w:t>
      </w:r>
      <w:r w:rsidR="00614C5D" w:rsidRPr="00614C5D">
        <w:rPr>
          <w:rFonts w:ascii="Times New Roman" w:hAnsi="Times New Roman" w:cs="Times New Roman"/>
          <w:bCs/>
          <w:noProof/>
          <w:sz w:val="24"/>
          <w:szCs w:val="24"/>
          <w:vertAlign w:val="subscript"/>
        </w:rPr>
        <w:t>10</w:t>
      </w:r>
      <w:r w:rsidR="00614C5D" w:rsidRPr="00614C5D">
        <w:rPr>
          <w:rFonts w:ascii="Times New Roman" w:hAnsi="Times New Roman" w:cs="Times New Roman"/>
          <w:bCs/>
          <w:noProof/>
          <w:sz w:val="24"/>
          <w:szCs w:val="24"/>
        </w:rPr>
        <w:t xml:space="preserve"> and PM</w:t>
      </w:r>
      <w:r w:rsidR="00614C5D" w:rsidRPr="00614C5D">
        <w:rPr>
          <w:rFonts w:ascii="Times New Roman" w:hAnsi="Times New Roman" w:cs="Times New Roman"/>
          <w:bCs/>
          <w:noProof/>
          <w:sz w:val="24"/>
          <w:szCs w:val="24"/>
          <w:vertAlign w:val="subscript"/>
        </w:rPr>
        <w:t>2.5</w:t>
      </w:r>
      <w:r w:rsidR="00614C5D" w:rsidRPr="00614C5D">
        <w:rPr>
          <w:rFonts w:ascii="Times New Roman" w:hAnsi="Times New Roman" w:cs="Times New Roman"/>
          <w:bCs/>
          <w:noProof/>
          <w:sz w:val="24"/>
          <w:szCs w:val="24"/>
        </w:rPr>
        <w:t xml:space="preserve"> mass loadings in four major metropolitan cities of India i.e., Delhi (Chowdhury et al., 2007; Srivastava et al., 2008; Jain et al., 2018), Mumbai (Chowdhury et al., 2007; Chelani et al., 2008; Gupta et al., 2012), Kolkata (Chowdhury et al., 2007; Gupta et al., 2007) and Chennai (Srimuruganandam and Nagendra, 2012; Selvaraju et al., 2013) have been explained by five to seven source factors extracted using a variety of receptor models (CMB, PCA, PMF, UNMIX).</w:t>
      </w:r>
    </w:p>
    <w:p w14:paraId="555CCDAF" w14:textId="77777777" w:rsidR="00614C5D" w:rsidRPr="00614C5D" w:rsidRDefault="00614C5D" w:rsidP="00614C5D">
      <w:pPr>
        <w:spacing w:line="360" w:lineRule="auto"/>
        <w:jc w:val="both"/>
        <w:rPr>
          <w:rFonts w:ascii="Times New Roman" w:hAnsi="Times New Roman" w:cs="Times New Roman"/>
          <w:b/>
          <w:bCs/>
          <w:noProof/>
          <w:sz w:val="24"/>
          <w:szCs w:val="24"/>
        </w:rPr>
      </w:pPr>
      <w:r w:rsidRPr="00614C5D">
        <w:rPr>
          <w:rFonts w:ascii="Times New Roman" w:hAnsi="Times New Roman" w:cs="Times New Roman"/>
          <w:bCs/>
          <w:noProof/>
          <w:sz w:val="24"/>
          <w:szCs w:val="24"/>
        </w:rPr>
        <w:t>The factors resolved by the PMF model in the present study included dust, wheat-residue burning, biofuel use and waste disposal, mixed daytime, traffic (cars and two-wheelers), industrial emissions, and solvent use. Emission source profiles of particulate matter and their identification with PMF generated factors is elucidated in the following text.</w:t>
      </w:r>
    </w:p>
    <w:p w14:paraId="644B9D58" w14:textId="77777777" w:rsidR="00614C5D" w:rsidRPr="00614C5D" w:rsidRDefault="00614C5D" w:rsidP="00614C5D">
      <w:pPr>
        <w:spacing w:line="360" w:lineRule="auto"/>
        <w:jc w:val="both"/>
        <w:rPr>
          <w:rFonts w:ascii="Times New Roman" w:hAnsi="Times New Roman" w:cs="Times New Roman"/>
          <w:bCs/>
          <w:noProof/>
          <w:sz w:val="24"/>
          <w:szCs w:val="24"/>
        </w:rPr>
      </w:pPr>
      <w:r w:rsidRPr="00614C5D">
        <w:rPr>
          <w:rFonts w:ascii="Times New Roman" w:hAnsi="Times New Roman" w:cs="Times New Roman"/>
          <w:bCs/>
          <w:noProof/>
          <w:sz w:val="24"/>
          <w:szCs w:val="24"/>
        </w:rPr>
        <w:t xml:space="preserve">A quick guide for source identification of Factor 1 through Factor 6 (Fig. 4.3) is given in Table 4.3. The greater details pertaining to the source assignment and description of six </w:t>
      </w:r>
      <w:r w:rsidRPr="00614C5D">
        <w:rPr>
          <w:rFonts w:ascii="Times New Roman" w:hAnsi="Times New Roman" w:cs="Times New Roman"/>
          <w:bCs/>
          <w:noProof/>
          <w:sz w:val="24"/>
          <w:szCs w:val="24"/>
        </w:rPr>
        <w:lastRenderedPageBreak/>
        <w:t>model factors is presented elsewhere (Pallavi et al., 2019). However, the important chemical markers that facilitated the source categorization of PMF model factors, in addition to times series, diel profile and source directionality are listed in Table 4.3. The contribution of VOC tracers in their marked factors is excellently preserved in both the PMF solutions (Fig. 4.3), one without PM (6-factor solution) and second with PM (7-factor solution). Among the seven modelled factors; wheat-residue burning, biofuel use and waste disposal, cars, two-wheelers, industrial emissions and solvent use factor were validated by the experimentally collected source samples, and two remaining factors “mixed daytime” and “dust” are discussed below.</w:t>
      </w:r>
    </w:p>
    <w:p w14:paraId="43E032F4" w14:textId="77777777" w:rsidR="00614C5D" w:rsidRPr="00614C5D" w:rsidRDefault="00614C5D" w:rsidP="00614C5D">
      <w:pPr>
        <w:spacing w:line="360" w:lineRule="auto"/>
        <w:jc w:val="both"/>
        <w:rPr>
          <w:rFonts w:ascii="Times New Roman" w:hAnsi="Times New Roman" w:cs="Times New Roman"/>
          <w:bCs/>
          <w:noProof/>
          <w:sz w:val="24"/>
          <w:szCs w:val="24"/>
        </w:rPr>
      </w:pPr>
      <w:r w:rsidRPr="00614C5D">
        <w:rPr>
          <w:rFonts w:ascii="Times New Roman" w:hAnsi="Times New Roman" w:cs="Times New Roman"/>
          <w:bCs/>
          <w:noProof/>
          <w:sz w:val="24"/>
          <w:szCs w:val="24"/>
        </w:rPr>
        <w:t>“Mixed daytime” source factor, the assignment of this factor points towards a mixed source profile comprising of biogenic emissions and photochemical products. This factor profile has notable percentage contribution from isoprene (17.0%), an important marker of biogenic emissions (</w:t>
      </w:r>
      <w:r w:rsidRPr="00614C5D">
        <w:rPr>
          <w:rFonts w:ascii="Times New Roman" w:hAnsi="Times New Roman" w:cs="Times New Roman"/>
          <w:bCs/>
          <w:noProof/>
          <w:sz w:val="24"/>
          <w:szCs w:val="24"/>
          <w:lang w:val="en-US"/>
        </w:rPr>
        <w:t>Kesselmeier and Staudt, 1999)</w:t>
      </w:r>
      <w:r w:rsidRPr="00614C5D">
        <w:rPr>
          <w:rFonts w:ascii="Times New Roman" w:hAnsi="Times New Roman" w:cs="Times New Roman"/>
          <w:bCs/>
          <w:noProof/>
          <w:sz w:val="24"/>
          <w:szCs w:val="24"/>
        </w:rPr>
        <w:t xml:space="preserve"> and monoterpenes (30.6%) which is known to have various plants as emission sources (</w:t>
      </w:r>
      <w:r w:rsidRPr="00614C5D">
        <w:rPr>
          <w:rFonts w:ascii="Times New Roman" w:hAnsi="Times New Roman" w:cs="Times New Roman"/>
          <w:bCs/>
          <w:noProof/>
          <w:sz w:val="24"/>
          <w:szCs w:val="24"/>
          <w:lang w:val="en-US"/>
        </w:rPr>
        <w:t xml:space="preserve">Kesselmeier et al., 1996; </w:t>
      </w:r>
      <w:r w:rsidRPr="00614C5D">
        <w:rPr>
          <w:rFonts w:ascii="Times New Roman" w:hAnsi="Times New Roman" w:cs="Times New Roman"/>
          <w:bCs/>
          <w:noProof/>
          <w:sz w:val="24"/>
          <w:szCs w:val="24"/>
        </w:rPr>
        <w:t>Lun et al., 2020). The diel profile of mixed daytime factor depicts strong daytime activity, shows peak values (21.2 - 32.0 µg/m</w:t>
      </w:r>
      <w:r w:rsidRPr="00614C5D">
        <w:rPr>
          <w:rFonts w:ascii="Times New Roman" w:hAnsi="Times New Roman" w:cs="Times New Roman"/>
          <w:bCs/>
          <w:noProof/>
          <w:sz w:val="24"/>
          <w:szCs w:val="24"/>
          <w:vertAlign w:val="superscript"/>
        </w:rPr>
        <w:t>3</w:t>
      </w:r>
      <w:r w:rsidRPr="00614C5D">
        <w:rPr>
          <w:rFonts w:ascii="Times New Roman" w:hAnsi="Times New Roman" w:cs="Times New Roman"/>
          <w:bCs/>
          <w:noProof/>
          <w:sz w:val="24"/>
          <w:szCs w:val="24"/>
        </w:rPr>
        <w:t>) for about 11 hours (08:00-19:00 Local Time) and lower values during nighttime hours (~2.19 µg/m</w:t>
      </w:r>
      <w:r w:rsidRPr="00614C5D">
        <w:rPr>
          <w:rFonts w:ascii="Times New Roman" w:hAnsi="Times New Roman" w:cs="Times New Roman"/>
          <w:bCs/>
          <w:noProof/>
          <w:sz w:val="24"/>
          <w:szCs w:val="24"/>
          <w:vertAlign w:val="superscript"/>
        </w:rPr>
        <w:t>3</w:t>
      </w:r>
      <w:r w:rsidRPr="00614C5D">
        <w:rPr>
          <w:rFonts w:ascii="Times New Roman" w:hAnsi="Times New Roman" w:cs="Times New Roman"/>
          <w:bCs/>
          <w:noProof/>
          <w:sz w:val="24"/>
          <w:szCs w:val="24"/>
        </w:rPr>
        <w:t>). Methanol (16.6%) and acetone (19.1%) with known sources of biogenic emissions (Baker et al., 2001) contributed substantially to this factor. A significant percentage share of 25.4% to 35.4% associated with formaldehyde, formic acid; photochemically produced isocyanic acid, acetamide, formamide and propanamide featured prominently in this factor profile.</w:t>
      </w:r>
    </w:p>
    <w:p w14:paraId="0B0F8965" w14:textId="77777777" w:rsidR="00614C5D" w:rsidRPr="00614C5D" w:rsidRDefault="00614C5D" w:rsidP="00614C5D">
      <w:pPr>
        <w:spacing w:line="360" w:lineRule="auto"/>
        <w:jc w:val="both"/>
        <w:rPr>
          <w:rFonts w:ascii="Times New Roman" w:hAnsi="Times New Roman" w:cs="Times New Roman"/>
          <w:bCs/>
          <w:noProof/>
          <w:sz w:val="24"/>
          <w:szCs w:val="24"/>
        </w:rPr>
      </w:pPr>
      <w:r w:rsidRPr="00614C5D">
        <w:rPr>
          <w:rFonts w:ascii="Times New Roman" w:hAnsi="Times New Roman" w:cs="Times New Roman"/>
          <w:bCs/>
          <w:noProof/>
          <w:sz w:val="24"/>
          <w:szCs w:val="24"/>
        </w:rPr>
        <w:t>Next comes the dust factor, an additional and important factor that appeared after incorporating PM</w:t>
      </w:r>
      <w:r w:rsidRPr="00614C5D">
        <w:rPr>
          <w:rFonts w:ascii="Times New Roman" w:hAnsi="Times New Roman" w:cs="Times New Roman"/>
          <w:bCs/>
          <w:noProof/>
          <w:sz w:val="24"/>
          <w:szCs w:val="24"/>
          <w:vertAlign w:val="subscript"/>
        </w:rPr>
        <w:t>10</w:t>
      </w:r>
      <w:r w:rsidRPr="00614C5D">
        <w:rPr>
          <w:rFonts w:ascii="Times New Roman" w:hAnsi="Times New Roman" w:cs="Times New Roman"/>
          <w:bCs/>
          <w:noProof/>
          <w:sz w:val="24"/>
          <w:szCs w:val="24"/>
        </w:rPr>
        <w:t xml:space="preserve"> and PM</w:t>
      </w:r>
      <w:r w:rsidRPr="00614C5D">
        <w:rPr>
          <w:rFonts w:ascii="Times New Roman" w:hAnsi="Times New Roman" w:cs="Times New Roman"/>
          <w:bCs/>
          <w:noProof/>
          <w:sz w:val="24"/>
          <w:szCs w:val="24"/>
          <w:vertAlign w:val="subscript"/>
        </w:rPr>
        <w:t xml:space="preserve">2.5 </w:t>
      </w:r>
      <w:r w:rsidRPr="00614C5D">
        <w:rPr>
          <w:rFonts w:ascii="Times New Roman" w:hAnsi="Times New Roman" w:cs="Times New Roman"/>
          <w:bCs/>
          <w:noProof/>
          <w:sz w:val="24"/>
          <w:szCs w:val="24"/>
        </w:rPr>
        <w:t>mass concentrations to the input data for PMF receptor modelling. The dust factor profile is dominated by PM mass loadings with a considerably high percentage share of PM</w:t>
      </w:r>
      <w:r w:rsidRPr="00614C5D">
        <w:rPr>
          <w:rFonts w:ascii="Times New Roman" w:hAnsi="Times New Roman" w:cs="Times New Roman"/>
          <w:bCs/>
          <w:noProof/>
          <w:sz w:val="24"/>
          <w:szCs w:val="24"/>
          <w:vertAlign w:val="subscript"/>
        </w:rPr>
        <w:t>10</w:t>
      </w:r>
      <w:r w:rsidRPr="00614C5D">
        <w:rPr>
          <w:rFonts w:ascii="Times New Roman" w:hAnsi="Times New Roman" w:cs="Times New Roman"/>
          <w:bCs/>
          <w:noProof/>
          <w:sz w:val="24"/>
          <w:szCs w:val="24"/>
        </w:rPr>
        <w:t xml:space="preserve"> (48.8%) and PM</w:t>
      </w:r>
      <w:r w:rsidRPr="00614C5D">
        <w:rPr>
          <w:rFonts w:ascii="Times New Roman" w:hAnsi="Times New Roman" w:cs="Times New Roman"/>
          <w:bCs/>
          <w:noProof/>
          <w:sz w:val="24"/>
          <w:szCs w:val="24"/>
          <w:vertAlign w:val="subscript"/>
        </w:rPr>
        <w:t>2.5</w:t>
      </w:r>
      <w:r w:rsidRPr="00614C5D">
        <w:rPr>
          <w:rFonts w:ascii="Times New Roman" w:hAnsi="Times New Roman" w:cs="Times New Roman"/>
          <w:bCs/>
          <w:noProof/>
          <w:sz w:val="24"/>
          <w:szCs w:val="24"/>
        </w:rPr>
        <w:t xml:space="preserve"> (33.6%) as shown in Figure 4.5. The PM</w:t>
      </w:r>
      <w:r w:rsidRPr="00614C5D">
        <w:rPr>
          <w:rFonts w:ascii="Times New Roman" w:hAnsi="Times New Roman" w:cs="Times New Roman"/>
          <w:bCs/>
          <w:noProof/>
          <w:sz w:val="24"/>
          <w:szCs w:val="24"/>
          <w:vertAlign w:val="subscript"/>
        </w:rPr>
        <w:t>2.5</w:t>
      </w:r>
      <w:r w:rsidRPr="00614C5D">
        <w:rPr>
          <w:rFonts w:ascii="Times New Roman" w:hAnsi="Times New Roman" w:cs="Times New Roman"/>
          <w:bCs/>
          <w:noProof/>
          <w:sz w:val="24"/>
          <w:szCs w:val="24"/>
        </w:rPr>
        <w:t>/PM</w:t>
      </w:r>
      <w:r w:rsidRPr="00614C5D">
        <w:rPr>
          <w:rFonts w:ascii="Times New Roman" w:hAnsi="Times New Roman" w:cs="Times New Roman"/>
          <w:bCs/>
          <w:noProof/>
          <w:sz w:val="24"/>
          <w:szCs w:val="24"/>
          <w:vertAlign w:val="subscript"/>
        </w:rPr>
        <w:t xml:space="preserve">10 </w:t>
      </w:r>
      <w:r w:rsidRPr="00614C5D">
        <w:rPr>
          <w:rFonts w:ascii="Times New Roman" w:hAnsi="Times New Roman" w:cs="Times New Roman"/>
          <w:bCs/>
          <w:noProof/>
          <w:sz w:val="24"/>
          <w:szCs w:val="24"/>
        </w:rPr>
        <w:t>mass concentration ratio of 0.3 indicated predominance of coarse mode over fine mode particles. A remarkably high contribution of PM</w:t>
      </w:r>
      <w:r w:rsidRPr="00614C5D">
        <w:rPr>
          <w:rFonts w:ascii="Times New Roman" w:hAnsi="Times New Roman" w:cs="Times New Roman"/>
          <w:bCs/>
          <w:noProof/>
          <w:sz w:val="24"/>
          <w:szCs w:val="24"/>
          <w:vertAlign w:val="subscript"/>
        </w:rPr>
        <w:t>10</w:t>
      </w:r>
      <w:r w:rsidRPr="00614C5D">
        <w:rPr>
          <w:rFonts w:ascii="Times New Roman" w:hAnsi="Times New Roman" w:cs="Times New Roman"/>
          <w:bCs/>
          <w:noProof/>
          <w:sz w:val="24"/>
          <w:szCs w:val="24"/>
        </w:rPr>
        <w:t xml:space="preserve"> to the dust factor has been reported in various PM source apportionment studies conducted at Delhi in summer season (Pant and Harrison, 2012). There are negligible concentrations of all VOC species (&lt; 1</w:t>
      </w:r>
      <w:r w:rsidRPr="00614C5D">
        <w:rPr>
          <w:rFonts w:ascii="Times New Roman" w:hAnsi="Times New Roman" w:cs="Times New Roman"/>
          <w:bCs/>
          <w:noProof/>
          <w:sz w:val="24"/>
          <w:szCs w:val="24"/>
          <w:lang w:val="en-GB"/>
        </w:rPr>
        <w:t>µg/m³</w:t>
      </w:r>
      <w:r w:rsidRPr="00614C5D">
        <w:rPr>
          <w:rFonts w:ascii="Times New Roman" w:hAnsi="Times New Roman" w:cs="Times New Roman"/>
          <w:bCs/>
          <w:noProof/>
          <w:sz w:val="24"/>
          <w:szCs w:val="24"/>
        </w:rPr>
        <w:t>) and &lt; 4% contributions of individual VOCs to this factor. The analogous dust factor apportioned using PMF model contributed 34% to the measured PM</w:t>
      </w:r>
      <w:r w:rsidRPr="00614C5D">
        <w:rPr>
          <w:rFonts w:ascii="Times New Roman" w:hAnsi="Times New Roman" w:cs="Times New Roman"/>
          <w:bCs/>
          <w:noProof/>
          <w:sz w:val="24"/>
          <w:szCs w:val="24"/>
          <w:vertAlign w:val="subscript"/>
        </w:rPr>
        <w:t xml:space="preserve">10 </w:t>
      </w:r>
      <w:r w:rsidRPr="00614C5D">
        <w:rPr>
          <w:rFonts w:ascii="Times New Roman" w:hAnsi="Times New Roman" w:cs="Times New Roman"/>
          <w:bCs/>
          <w:noProof/>
          <w:sz w:val="24"/>
          <w:szCs w:val="24"/>
        </w:rPr>
        <w:t>at Delhi in January-March 2018 (Rai et al., 2020) and 52% to the measured PM</w:t>
      </w:r>
      <w:r w:rsidRPr="00614C5D">
        <w:rPr>
          <w:rFonts w:ascii="Times New Roman" w:hAnsi="Times New Roman" w:cs="Times New Roman"/>
          <w:bCs/>
          <w:noProof/>
          <w:sz w:val="24"/>
          <w:szCs w:val="24"/>
          <w:vertAlign w:val="subscript"/>
        </w:rPr>
        <w:t xml:space="preserve">2.5 </w:t>
      </w:r>
      <w:r w:rsidRPr="00614C5D">
        <w:rPr>
          <w:rFonts w:ascii="Times New Roman" w:hAnsi="Times New Roman" w:cs="Times New Roman"/>
          <w:bCs/>
          <w:noProof/>
          <w:sz w:val="24"/>
          <w:szCs w:val="24"/>
        </w:rPr>
        <w:t xml:space="preserve">at Delhi in June-July 2019 (Shukla et al., 2021). The source apportionment studies carried out in other </w:t>
      </w:r>
      <w:r w:rsidRPr="00614C5D">
        <w:rPr>
          <w:rFonts w:ascii="Times New Roman" w:hAnsi="Times New Roman" w:cs="Times New Roman"/>
          <w:bCs/>
          <w:noProof/>
          <w:sz w:val="24"/>
          <w:szCs w:val="24"/>
        </w:rPr>
        <w:lastRenderedPageBreak/>
        <w:t>Asian environments, like different parts of China, South Korea; concluded dust factor as one of the top contributors (20-50%) of PM pollution (Ryou et al., 2018; Zhu et al., 2018). But the relative contributions of dust factor warrant careful examination with respect to heterogeneous environmental conditions in various geographies all over the world and the exact methodologies adopted for apportionment of pollution sources there.</w:t>
      </w:r>
    </w:p>
    <w:p w14:paraId="28BE234B" w14:textId="52868D3E" w:rsidR="008B1A61" w:rsidRPr="005C6576" w:rsidRDefault="00614C5D" w:rsidP="00E66FEA">
      <w:pPr>
        <w:spacing w:line="360" w:lineRule="auto"/>
        <w:jc w:val="both"/>
        <w:rPr>
          <w:rFonts w:ascii="Times New Roman" w:hAnsi="Times New Roman" w:cs="Times New Roman"/>
          <w:bCs/>
          <w:noProof/>
          <w:sz w:val="24"/>
          <w:szCs w:val="24"/>
        </w:rPr>
      </w:pPr>
      <w:r w:rsidRPr="00614C5D">
        <w:rPr>
          <w:rFonts w:ascii="Times New Roman" w:hAnsi="Times New Roman" w:cs="Times New Roman"/>
          <w:bCs/>
          <w:noProof/>
          <w:sz w:val="24"/>
          <w:szCs w:val="24"/>
        </w:rPr>
        <w:t xml:space="preserve">The factor contribution time series for this factor completely stands apart from all other factors’ time series and correlates well with the observed PM concentrations at the measurement site (Fig. 4.6). Dust storms and frequent wheat residue burning events that largely influence the ambient chemical composition of air in summer months (May 2012) in this area are aptly captured by this model factor. Dust from construction works, road works, unpaved roads, open lands, fields, landfills and agricultural processes is highly likely to contribute significant amounts of PM to this source factor. </w:t>
      </w:r>
    </w:p>
    <w:tbl>
      <w:tblPr>
        <w:tblStyle w:val="ListTable6Colorful1"/>
        <w:tblW w:w="0" w:type="auto"/>
        <w:tblLook w:val="06A0" w:firstRow="1" w:lastRow="0" w:firstColumn="1" w:lastColumn="0" w:noHBand="1" w:noVBand="1"/>
      </w:tblPr>
      <w:tblGrid>
        <w:gridCol w:w="1768"/>
        <w:gridCol w:w="2938"/>
        <w:gridCol w:w="3753"/>
      </w:tblGrid>
      <w:tr w:rsidR="00E66FEA" w:rsidRPr="005C6576" w14:paraId="7B2C3442" w14:textId="77777777" w:rsidTr="00E0091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6DB3F4A7" w14:textId="77777777" w:rsidR="00F331F1" w:rsidRPr="005C6576" w:rsidRDefault="00F331F1" w:rsidP="00E66FEA">
            <w:pPr>
              <w:spacing w:line="360" w:lineRule="auto"/>
              <w:jc w:val="both"/>
              <w:rPr>
                <w:color w:val="auto"/>
                <w:sz w:val="22"/>
                <w:szCs w:val="22"/>
              </w:rPr>
            </w:pPr>
            <w:r w:rsidRPr="005C6576">
              <w:rPr>
                <w:color w:val="auto"/>
                <w:sz w:val="22"/>
                <w:szCs w:val="22"/>
              </w:rPr>
              <w:t>Source</w:t>
            </w:r>
          </w:p>
        </w:tc>
        <w:tc>
          <w:tcPr>
            <w:tcW w:w="3119" w:type="dxa"/>
          </w:tcPr>
          <w:p w14:paraId="2BBD9298" w14:textId="77777777" w:rsidR="00F331F1" w:rsidRPr="005C6576"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Tracer species</w:t>
            </w:r>
          </w:p>
        </w:tc>
        <w:tc>
          <w:tcPr>
            <w:tcW w:w="4054" w:type="dxa"/>
          </w:tcPr>
          <w:p w14:paraId="22ADA8AA" w14:textId="77777777" w:rsidR="00F331F1" w:rsidRPr="005C6576" w:rsidRDefault="00F331F1" w:rsidP="00E66FEA">
            <w:pPr>
              <w:spacing w:line="360" w:lineRule="auto"/>
              <w:jc w:val="both"/>
              <w:cnfStyle w:val="100000000000" w:firstRow="1"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References</w:t>
            </w:r>
          </w:p>
        </w:tc>
      </w:tr>
      <w:tr w:rsidR="00E66FEA" w:rsidRPr="005C6576" w14:paraId="767262C6" w14:textId="77777777" w:rsidTr="00E00912">
        <w:tc>
          <w:tcPr>
            <w:cnfStyle w:val="001000000000" w:firstRow="0" w:lastRow="0" w:firstColumn="1" w:lastColumn="0" w:oddVBand="0" w:evenVBand="0" w:oddHBand="0" w:evenHBand="0" w:firstRowFirstColumn="0" w:firstRowLastColumn="0" w:lastRowFirstColumn="0" w:lastRowLastColumn="0"/>
            <w:tcW w:w="1843" w:type="dxa"/>
          </w:tcPr>
          <w:p w14:paraId="69DDB226" w14:textId="77777777" w:rsidR="00F331F1" w:rsidRPr="005C6576" w:rsidRDefault="00F331F1" w:rsidP="00E66FEA">
            <w:pPr>
              <w:spacing w:line="360" w:lineRule="auto"/>
              <w:jc w:val="both"/>
              <w:rPr>
                <w:color w:val="auto"/>
                <w:sz w:val="22"/>
                <w:szCs w:val="22"/>
              </w:rPr>
            </w:pPr>
            <w:r w:rsidRPr="005C6576">
              <w:rPr>
                <w:color w:val="auto"/>
                <w:sz w:val="22"/>
                <w:szCs w:val="22"/>
              </w:rPr>
              <w:t>Biomass burning</w:t>
            </w:r>
          </w:p>
        </w:tc>
        <w:tc>
          <w:tcPr>
            <w:tcW w:w="3119" w:type="dxa"/>
          </w:tcPr>
          <w:p w14:paraId="7908447A"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Acetonitrile, CO</w:t>
            </w:r>
          </w:p>
        </w:tc>
        <w:tc>
          <w:tcPr>
            <w:tcW w:w="4054" w:type="dxa"/>
          </w:tcPr>
          <w:p w14:paraId="4D37F302"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Holzinger et al., 1999; Lack et al., 2013</w:t>
            </w:r>
          </w:p>
        </w:tc>
      </w:tr>
      <w:tr w:rsidR="00E66FEA" w:rsidRPr="005C6576" w14:paraId="1288C7BA" w14:textId="77777777" w:rsidTr="00E00912">
        <w:tc>
          <w:tcPr>
            <w:cnfStyle w:val="001000000000" w:firstRow="0" w:lastRow="0" w:firstColumn="1" w:lastColumn="0" w:oddVBand="0" w:evenVBand="0" w:oddHBand="0" w:evenHBand="0" w:firstRowFirstColumn="0" w:firstRowLastColumn="0" w:lastRowFirstColumn="0" w:lastRowLastColumn="0"/>
            <w:tcW w:w="1843" w:type="dxa"/>
          </w:tcPr>
          <w:p w14:paraId="1D4437F9" w14:textId="77777777" w:rsidR="00F331F1" w:rsidRPr="005C6576" w:rsidRDefault="00F331F1" w:rsidP="00E66FEA">
            <w:pPr>
              <w:spacing w:line="360" w:lineRule="auto"/>
              <w:jc w:val="both"/>
              <w:rPr>
                <w:color w:val="auto"/>
                <w:sz w:val="22"/>
                <w:szCs w:val="22"/>
              </w:rPr>
            </w:pPr>
            <w:r w:rsidRPr="005C6576">
              <w:rPr>
                <w:color w:val="auto"/>
                <w:sz w:val="22"/>
                <w:szCs w:val="22"/>
              </w:rPr>
              <w:t>Biogenic emissions</w:t>
            </w:r>
          </w:p>
        </w:tc>
        <w:tc>
          <w:tcPr>
            <w:tcW w:w="3119" w:type="dxa"/>
          </w:tcPr>
          <w:p w14:paraId="5D24109D"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Isoprene and Monoterpenes</w:t>
            </w:r>
          </w:p>
        </w:tc>
        <w:tc>
          <w:tcPr>
            <w:tcW w:w="4054" w:type="dxa"/>
          </w:tcPr>
          <w:p w14:paraId="4B9E49FA"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Kesselmeier &amp; Staudt, 1999; Bryant et al., 2023</w:t>
            </w:r>
          </w:p>
        </w:tc>
      </w:tr>
      <w:tr w:rsidR="00E66FEA" w:rsidRPr="005C6576" w14:paraId="60C5422F" w14:textId="77777777" w:rsidTr="00E00912">
        <w:tc>
          <w:tcPr>
            <w:cnfStyle w:val="001000000000" w:firstRow="0" w:lastRow="0" w:firstColumn="1" w:lastColumn="0" w:oddVBand="0" w:evenVBand="0" w:oddHBand="0" w:evenHBand="0" w:firstRowFirstColumn="0" w:firstRowLastColumn="0" w:lastRowFirstColumn="0" w:lastRowLastColumn="0"/>
            <w:tcW w:w="1843" w:type="dxa"/>
          </w:tcPr>
          <w:p w14:paraId="2462DE1F" w14:textId="77777777" w:rsidR="00F331F1" w:rsidRPr="005C6576" w:rsidRDefault="00F331F1" w:rsidP="00E66FEA">
            <w:pPr>
              <w:spacing w:line="360" w:lineRule="auto"/>
              <w:jc w:val="both"/>
              <w:rPr>
                <w:color w:val="auto"/>
                <w:sz w:val="22"/>
                <w:szCs w:val="22"/>
              </w:rPr>
            </w:pPr>
            <w:r w:rsidRPr="005C6576">
              <w:rPr>
                <w:color w:val="auto"/>
                <w:sz w:val="22"/>
                <w:szCs w:val="22"/>
              </w:rPr>
              <w:t>Industrial</w:t>
            </w:r>
          </w:p>
        </w:tc>
        <w:tc>
          <w:tcPr>
            <w:tcW w:w="3119" w:type="dxa"/>
          </w:tcPr>
          <w:p w14:paraId="7FF023E6"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Methanol and Acetone, SO</w:t>
            </w:r>
            <w:r w:rsidRPr="005C6576">
              <w:rPr>
                <w:color w:val="auto"/>
                <w:sz w:val="22"/>
                <w:szCs w:val="22"/>
                <w:vertAlign w:val="subscript"/>
              </w:rPr>
              <w:t>2</w:t>
            </w:r>
          </w:p>
        </w:tc>
        <w:tc>
          <w:tcPr>
            <w:tcW w:w="4054" w:type="dxa"/>
          </w:tcPr>
          <w:p w14:paraId="3A9E2A30"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Gaimoz et al., 2011; Huang et al., 2019; Qu et al., 2022</w:t>
            </w:r>
          </w:p>
        </w:tc>
      </w:tr>
      <w:tr w:rsidR="00E66FEA" w:rsidRPr="005C6576" w14:paraId="22E3740E" w14:textId="77777777" w:rsidTr="00E00912">
        <w:tc>
          <w:tcPr>
            <w:cnfStyle w:val="001000000000" w:firstRow="0" w:lastRow="0" w:firstColumn="1" w:lastColumn="0" w:oddVBand="0" w:evenVBand="0" w:oddHBand="0" w:evenHBand="0" w:firstRowFirstColumn="0" w:firstRowLastColumn="0" w:lastRowFirstColumn="0" w:lastRowLastColumn="0"/>
            <w:tcW w:w="1843" w:type="dxa"/>
          </w:tcPr>
          <w:p w14:paraId="0A89019C" w14:textId="77777777" w:rsidR="00F331F1" w:rsidRPr="005C6576" w:rsidRDefault="00F331F1" w:rsidP="00E66FEA">
            <w:pPr>
              <w:spacing w:line="360" w:lineRule="auto"/>
              <w:jc w:val="both"/>
              <w:rPr>
                <w:color w:val="auto"/>
                <w:sz w:val="22"/>
                <w:szCs w:val="22"/>
              </w:rPr>
            </w:pPr>
            <w:r w:rsidRPr="005C6576">
              <w:rPr>
                <w:color w:val="auto"/>
                <w:sz w:val="22"/>
                <w:szCs w:val="22"/>
              </w:rPr>
              <w:t>Traffic</w:t>
            </w:r>
          </w:p>
        </w:tc>
        <w:tc>
          <w:tcPr>
            <w:tcW w:w="3119" w:type="dxa"/>
          </w:tcPr>
          <w:p w14:paraId="450F6CCD"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Benzene, Toluene, Ethylbenzene and Xylenes, NO</w:t>
            </w:r>
            <w:r w:rsidRPr="005C6576">
              <w:rPr>
                <w:color w:val="auto"/>
                <w:sz w:val="22"/>
                <w:szCs w:val="22"/>
                <w:vertAlign w:val="subscript"/>
              </w:rPr>
              <w:t>x</w:t>
            </w:r>
          </w:p>
        </w:tc>
        <w:tc>
          <w:tcPr>
            <w:tcW w:w="4054" w:type="dxa"/>
          </w:tcPr>
          <w:p w14:paraId="7BCDD7F9" w14:textId="77777777" w:rsidR="00F331F1" w:rsidRPr="005C6576" w:rsidRDefault="00F331F1" w:rsidP="00E66FEA">
            <w:pPr>
              <w:spacing w:line="360" w:lineRule="auto"/>
              <w:jc w:val="both"/>
              <w:cnfStyle w:val="000000000000" w:firstRow="0" w:lastRow="0" w:firstColumn="0" w:lastColumn="0" w:oddVBand="0" w:evenVBand="0" w:oddHBand="0" w:evenHBand="0" w:firstRowFirstColumn="0" w:firstRowLastColumn="0" w:lastRowFirstColumn="0" w:lastRowLastColumn="0"/>
              <w:rPr>
                <w:color w:val="auto"/>
                <w:sz w:val="22"/>
                <w:szCs w:val="22"/>
              </w:rPr>
            </w:pPr>
            <w:r w:rsidRPr="005C6576">
              <w:rPr>
                <w:color w:val="auto"/>
                <w:sz w:val="22"/>
                <w:szCs w:val="22"/>
              </w:rPr>
              <w:t>Ramanathan et al., 1985; Buczynska et al., 2009; Liu et al, 2008; Zalel &amp; Broday, 2008</w:t>
            </w:r>
          </w:p>
        </w:tc>
      </w:tr>
    </w:tbl>
    <w:p w14:paraId="0AE7F5A9" w14:textId="2DA97591" w:rsidR="00F331F1" w:rsidRDefault="00F331F1" w:rsidP="00E66FEA">
      <w:pPr>
        <w:pStyle w:val="Caption"/>
        <w:spacing w:line="360" w:lineRule="auto"/>
        <w:jc w:val="both"/>
        <w:rPr>
          <w:rFonts w:ascii="Times New Roman" w:hAnsi="Times New Roman" w:cs="Times New Roman"/>
          <w:color w:val="auto"/>
          <w:sz w:val="24"/>
          <w:szCs w:val="24"/>
        </w:rPr>
      </w:pPr>
      <w:r w:rsidRPr="00E66FEA">
        <w:rPr>
          <w:rFonts w:ascii="Times New Roman" w:hAnsi="Times New Roman" w:cs="Times New Roman"/>
          <w:color w:val="auto"/>
          <w:sz w:val="24"/>
          <w:szCs w:val="24"/>
        </w:rPr>
        <w:t xml:space="preserve"> </w:t>
      </w:r>
      <w:bookmarkStart w:id="78" w:name="_Toc133580167"/>
      <w:r w:rsidR="00BC2A0F" w:rsidRPr="00E66FEA">
        <w:rPr>
          <w:rFonts w:ascii="Times New Roman" w:hAnsi="Times New Roman" w:cs="Times New Roman"/>
          <w:color w:val="auto"/>
          <w:sz w:val="24"/>
          <w:szCs w:val="24"/>
        </w:rPr>
        <w:t xml:space="preserve">Table 4. </w:t>
      </w:r>
      <w:r w:rsidR="00BC2A0F" w:rsidRPr="00E66FEA">
        <w:rPr>
          <w:rFonts w:ascii="Times New Roman" w:hAnsi="Times New Roman" w:cs="Times New Roman"/>
          <w:color w:val="auto"/>
          <w:sz w:val="24"/>
          <w:szCs w:val="24"/>
        </w:rPr>
        <w:fldChar w:fldCharType="begin"/>
      </w:r>
      <w:r w:rsidR="00BC2A0F" w:rsidRPr="00E66FEA">
        <w:rPr>
          <w:rFonts w:ascii="Times New Roman" w:hAnsi="Times New Roman" w:cs="Times New Roman"/>
          <w:color w:val="auto"/>
          <w:sz w:val="24"/>
          <w:szCs w:val="24"/>
        </w:rPr>
        <w:instrText xml:space="preserve"> SEQ Table_4. \* ARABIC </w:instrText>
      </w:r>
      <w:r w:rsidR="00BC2A0F"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3</w:t>
      </w:r>
      <w:r w:rsidR="00BC2A0F" w:rsidRPr="00E66FEA">
        <w:rPr>
          <w:rFonts w:ascii="Times New Roman" w:hAnsi="Times New Roman" w:cs="Times New Roman"/>
          <w:color w:val="auto"/>
          <w:sz w:val="24"/>
          <w:szCs w:val="24"/>
        </w:rPr>
        <w:fldChar w:fldCharType="end"/>
      </w:r>
      <w:r w:rsidRPr="00E66FEA">
        <w:rPr>
          <w:rFonts w:ascii="Times New Roman" w:hAnsi="Times New Roman" w:cs="Times New Roman"/>
          <w:color w:val="auto"/>
          <w:sz w:val="24"/>
          <w:szCs w:val="24"/>
        </w:rPr>
        <w:t xml:space="preserve"> Different sources of emission and their chemical signatures.</w:t>
      </w:r>
      <w:bookmarkEnd w:id="78"/>
    </w:p>
    <w:p w14:paraId="6606015C" w14:textId="03200F23" w:rsidR="001D5700" w:rsidRPr="001D5700" w:rsidRDefault="005C6576" w:rsidP="001D5700">
      <w:r w:rsidRPr="00E66FEA">
        <w:rPr>
          <w:rFonts w:ascii="Times New Roman" w:hAnsi="Times New Roman" w:cs="Times New Roman"/>
          <w:noProof/>
          <w:sz w:val="24"/>
          <w:szCs w:val="24"/>
          <w:lang w:eastAsia="en-IN"/>
        </w:rPr>
        <w:drawing>
          <wp:inline distT="0" distB="0" distL="0" distR="0" wp14:anchorId="7FF16783" wp14:editId="75A1519B">
            <wp:extent cx="5371465" cy="2648059"/>
            <wp:effectExtent l="0" t="0" r="635" b="0"/>
            <wp:docPr id="1391856579" name="Picture 1391856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371465" cy="2648059"/>
                    </a:xfrm>
                    <a:prstGeom prst="rect">
                      <a:avLst/>
                    </a:prstGeom>
                    <a:noFill/>
                    <a:ln>
                      <a:noFill/>
                    </a:ln>
                  </pic:spPr>
                </pic:pic>
              </a:graphicData>
            </a:graphic>
          </wp:inline>
        </w:drawing>
      </w:r>
    </w:p>
    <w:p w14:paraId="7635B938" w14:textId="13046A72" w:rsidR="00F331F1" w:rsidRPr="005C6576" w:rsidRDefault="003E0353" w:rsidP="00E66FEA">
      <w:pPr>
        <w:spacing w:line="360" w:lineRule="auto"/>
        <w:jc w:val="both"/>
        <w:rPr>
          <w:rFonts w:ascii="Times New Roman" w:hAnsi="Times New Roman" w:cs="Times New Roman"/>
          <w:i/>
          <w:noProof/>
          <w:sz w:val="24"/>
          <w:szCs w:val="24"/>
        </w:rPr>
      </w:pPr>
      <w:bookmarkStart w:id="79" w:name="_Toc133577946"/>
      <w:r w:rsidRPr="005C6576">
        <w:rPr>
          <w:rFonts w:ascii="Times New Roman" w:hAnsi="Times New Roman" w:cs="Times New Roman"/>
          <w:i/>
          <w:sz w:val="24"/>
          <w:szCs w:val="24"/>
        </w:rPr>
        <w:lastRenderedPageBreak/>
        <w:t xml:space="preserve">Figure 4. </w:t>
      </w:r>
      <w:r w:rsidRPr="005C6576">
        <w:rPr>
          <w:rFonts w:ascii="Times New Roman" w:hAnsi="Times New Roman" w:cs="Times New Roman"/>
          <w:i/>
          <w:sz w:val="24"/>
          <w:szCs w:val="24"/>
        </w:rPr>
        <w:fldChar w:fldCharType="begin"/>
      </w:r>
      <w:r w:rsidRPr="005C6576">
        <w:rPr>
          <w:rFonts w:ascii="Times New Roman" w:hAnsi="Times New Roman" w:cs="Times New Roman"/>
          <w:i/>
          <w:sz w:val="24"/>
          <w:szCs w:val="24"/>
        </w:rPr>
        <w:instrText xml:space="preserve"> SEQ Figure_4. \* ARABIC </w:instrText>
      </w:r>
      <w:r w:rsidRPr="005C6576">
        <w:rPr>
          <w:rFonts w:ascii="Times New Roman" w:hAnsi="Times New Roman" w:cs="Times New Roman"/>
          <w:i/>
          <w:sz w:val="24"/>
          <w:szCs w:val="24"/>
        </w:rPr>
        <w:fldChar w:fldCharType="separate"/>
      </w:r>
      <w:r w:rsidR="0036384D">
        <w:rPr>
          <w:rFonts w:ascii="Times New Roman" w:hAnsi="Times New Roman" w:cs="Times New Roman"/>
          <w:i/>
          <w:noProof/>
          <w:sz w:val="24"/>
          <w:szCs w:val="24"/>
        </w:rPr>
        <w:t>5</w:t>
      </w:r>
      <w:r w:rsidRPr="005C6576">
        <w:rPr>
          <w:rFonts w:ascii="Times New Roman" w:hAnsi="Times New Roman" w:cs="Times New Roman"/>
          <w:i/>
          <w:sz w:val="24"/>
          <w:szCs w:val="24"/>
        </w:rPr>
        <w:fldChar w:fldCharType="end"/>
      </w:r>
      <w:r w:rsidR="00F331F1" w:rsidRPr="005C6576">
        <w:rPr>
          <w:rFonts w:ascii="Times New Roman" w:hAnsi="Times New Roman" w:cs="Times New Roman"/>
          <w:i/>
          <w:noProof/>
          <w:sz w:val="24"/>
          <w:szCs w:val="24"/>
        </w:rPr>
        <w:t xml:space="preserve"> Factor profile composition in terms of VOCs and PM apportioned by the PMF model to the dust factor.</w:t>
      </w:r>
      <w:bookmarkEnd w:id="79"/>
    </w:p>
    <w:p w14:paraId="33D57162" w14:textId="77777777" w:rsidR="00025D98" w:rsidRPr="00E66FEA" w:rsidRDefault="00025D98" w:rsidP="00025D98">
      <w:pPr>
        <w:pStyle w:val="ListParagraph"/>
        <w:keepNext/>
        <w:keepLines/>
        <w:numPr>
          <w:ilvl w:val="2"/>
          <w:numId w:val="26"/>
        </w:numPr>
        <w:spacing w:before="40" w:after="0" w:line="360" w:lineRule="auto"/>
        <w:outlineLvl w:val="3"/>
        <w:rPr>
          <w:rFonts w:ascii="Times New Roman" w:eastAsiaTheme="majorEastAsia" w:hAnsi="Times New Roman" w:cs="Times New Roman"/>
          <w:b/>
          <w:bCs/>
          <w:sz w:val="24"/>
          <w:szCs w:val="24"/>
        </w:rPr>
      </w:pPr>
      <w:r w:rsidRPr="00E66FEA">
        <w:rPr>
          <w:rFonts w:ascii="Times New Roman" w:eastAsiaTheme="majorEastAsia" w:hAnsi="Times New Roman" w:cs="Times New Roman"/>
          <w:b/>
          <w:bCs/>
          <w:sz w:val="24"/>
          <w:szCs w:val="24"/>
        </w:rPr>
        <w:t>Factor time series and diel variation</w:t>
      </w:r>
    </w:p>
    <w:p w14:paraId="58FD854B" w14:textId="1550AFC4" w:rsidR="00665058" w:rsidRPr="00665058" w:rsidRDefault="00665058" w:rsidP="00665058">
      <w:pPr>
        <w:spacing w:line="360" w:lineRule="auto"/>
        <w:jc w:val="both"/>
        <w:rPr>
          <w:rFonts w:ascii="Times New Roman" w:hAnsi="Times New Roman" w:cs="Times New Roman"/>
          <w:sz w:val="24"/>
          <w:szCs w:val="24"/>
        </w:rPr>
      </w:pPr>
      <w:r w:rsidRPr="00665058">
        <w:rPr>
          <w:rFonts w:ascii="Times New Roman" w:hAnsi="Times New Roman" w:cs="Times New Roman"/>
          <w:sz w:val="24"/>
          <w:szCs w:val="24"/>
        </w:rPr>
        <w:t>Figure 4.6 shows the contribution of PM</w:t>
      </w:r>
      <w:r w:rsidRPr="00665058">
        <w:rPr>
          <w:rFonts w:ascii="Times New Roman" w:hAnsi="Times New Roman" w:cs="Times New Roman"/>
          <w:sz w:val="24"/>
          <w:szCs w:val="24"/>
          <w:vertAlign w:val="subscript"/>
        </w:rPr>
        <w:t>10</w:t>
      </w:r>
      <w:r w:rsidRPr="00665058">
        <w:rPr>
          <w:rFonts w:ascii="Times New Roman" w:hAnsi="Times New Roman" w:cs="Times New Roman"/>
          <w:sz w:val="24"/>
          <w:szCs w:val="24"/>
        </w:rPr>
        <w:t xml:space="preserve"> and PM</w:t>
      </w:r>
      <w:r w:rsidRPr="00665058">
        <w:rPr>
          <w:rFonts w:ascii="Times New Roman" w:hAnsi="Times New Roman" w:cs="Times New Roman"/>
          <w:sz w:val="24"/>
          <w:szCs w:val="24"/>
          <w:vertAlign w:val="subscript"/>
        </w:rPr>
        <w:t>2.5</w:t>
      </w:r>
      <w:r w:rsidRPr="00665058">
        <w:rPr>
          <w:rFonts w:ascii="Times New Roman" w:hAnsi="Times New Roman" w:cs="Times New Roman"/>
          <w:sz w:val="24"/>
          <w:szCs w:val="24"/>
        </w:rPr>
        <w:t xml:space="preserve"> to each factor in the 7-factor model solution. PM</w:t>
      </w:r>
      <w:r w:rsidRPr="00665058">
        <w:rPr>
          <w:rFonts w:ascii="Times New Roman" w:hAnsi="Times New Roman" w:cs="Times New Roman"/>
          <w:sz w:val="24"/>
          <w:szCs w:val="24"/>
          <w:vertAlign w:val="subscript"/>
        </w:rPr>
        <w:t>10</w:t>
      </w:r>
      <w:r w:rsidRPr="00665058">
        <w:rPr>
          <w:rFonts w:ascii="Times New Roman" w:hAnsi="Times New Roman" w:cs="Times New Roman"/>
          <w:sz w:val="24"/>
          <w:szCs w:val="24"/>
        </w:rPr>
        <w:t xml:space="preserve"> and PM</w:t>
      </w:r>
      <w:r w:rsidRPr="00665058">
        <w:rPr>
          <w:rFonts w:ascii="Times New Roman" w:hAnsi="Times New Roman" w:cs="Times New Roman"/>
          <w:sz w:val="24"/>
          <w:szCs w:val="24"/>
          <w:vertAlign w:val="subscript"/>
        </w:rPr>
        <w:t>2.5</w:t>
      </w:r>
      <w:r w:rsidRPr="00665058">
        <w:rPr>
          <w:rFonts w:ascii="Times New Roman" w:hAnsi="Times New Roman" w:cs="Times New Roman"/>
          <w:sz w:val="24"/>
          <w:szCs w:val="24"/>
        </w:rPr>
        <w:t xml:space="preserve"> factor contribution time series for various factors are shown on the left, and their diel variability is on the right. Diel variability gives the statistics of the entire dataset over a 24-hour period. The width of the box represents the interquartile range (25</w:t>
      </w:r>
      <w:r w:rsidRPr="00665058">
        <w:rPr>
          <w:rFonts w:ascii="Times New Roman" w:hAnsi="Times New Roman" w:cs="Times New Roman"/>
          <w:sz w:val="24"/>
          <w:szCs w:val="24"/>
          <w:vertAlign w:val="superscript"/>
        </w:rPr>
        <w:t>th</w:t>
      </w:r>
      <w:r w:rsidRPr="00665058">
        <w:rPr>
          <w:rFonts w:ascii="Times New Roman" w:hAnsi="Times New Roman" w:cs="Times New Roman"/>
          <w:sz w:val="24"/>
          <w:szCs w:val="24"/>
        </w:rPr>
        <w:t xml:space="preserve"> and 75</w:t>
      </w:r>
      <w:r w:rsidRPr="00665058">
        <w:rPr>
          <w:rFonts w:ascii="Times New Roman" w:hAnsi="Times New Roman" w:cs="Times New Roman"/>
          <w:sz w:val="24"/>
          <w:szCs w:val="24"/>
          <w:vertAlign w:val="superscript"/>
        </w:rPr>
        <w:t>th</w:t>
      </w:r>
      <w:r w:rsidRPr="00665058">
        <w:rPr>
          <w:rFonts w:ascii="Times New Roman" w:hAnsi="Times New Roman" w:cs="Times New Roman"/>
          <w:sz w:val="24"/>
          <w:szCs w:val="24"/>
        </w:rPr>
        <w:t xml:space="preserve"> percentiles) with the median value i.e., 50</w:t>
      </w:r>
      <w:r w:rsidRPr="00665058">
        <w:rPr>
          <w:rFonts w:ascii="Times New Roman" w:hAnsi="Times New Roman" w:cs="Times New Roman"/>
          <w:sz w:val="24"/>
          <w:szCs w:val="24"/>
          <w:vertAlign w:val="superscript"/>
        </w:rPr>
        <w:t>th</w:t>
      </w:r>
      <w:r w:rsidRPr="00665058">
        <w:rPr>
          <w:rFonts w:ascii="Times New Roman" w:hAnsi="Times New Roman" w:cs="Times New Roman"/>
          <w:sz w:val="24"/>
          <w:szCs w:val="24"/>
        </w:rPr>
        <w:t xml:space="preserve"> percentile partitioning the box whereas the whiskers represent 10th and 90th percentiles of the dataset. Each of the plots have solid circles denoting the average values. Elements inducing variation in diel profiles entails emissions from various sources coupled with boundary layer dynamics, photochemistry and their chemical removal processes. </w:t>
      </w:r>
    </w:p>
    <w:p w14:paraId="10EF6AF0" w14:textId="77777777" w:rsidR="00665058" w:rsidRPr="00665058" w:rsidRDefault="00665058" w:rsidP="00665058">
      <w:pPr>
        <w:spacing w:line="360" w:lineRule="auto"/>
        <w:jc w:val="both"/>
        <w:rPr>
          <w:rFonts w:ascii="Times New Roman" w:hAnsi="Times New Roman" w:cs="Times New Roman"/>
          <w:sz w:val="24"/>
          <w:szCs w:val="24"/>
        </w:rPr>
      </w:pPr>
      <w:r w:rsidRPr="00665058">
        <w:rPr>
          <w:rFonts w:ascii="Times New Roman" w:hAnsi="Times New Roman" w:cs="Times New Roman"/>
          <w:sz w:val="24"/>
          <w:szCs w:val="24"/>
        </w:rPr>
        <w:t xml:space="preserve">It can be seen in diel profile that the average dust factor contribution lies between 64 - 216 </w:t>
      </w:r>
      <w:r w:rsidRPr="00665058">
        <w:rPr>
          <w:rFonts w:ascii="Times New Roman" w:hAnsi="Times New Roman" w:cs="Times New Roman"/>
          <w:sz w:val="24"/>
          <w:szCs w:val="24"/>
          <w:lang w:val="en-GB"/>
        </w:rPr>
        <w:t>µg/m³. Overall, throughout the day, the dust</w:t>
      </w:r>
      <w:r w:rsidRPr="00665058">
        <w:rPr>
          <w:rFonts w:ascii="Times New Roman" w:hAnsi="Times New Roman" w:cs="Times New Roman"/>
          <w:sz w:val="24"/>
          <w:szCs w:val="24"/>
        </w:rPr>
        <w:t xml:space="preserve"> factor generally witnesses higher average values than the median, pointing out the effect brought by certain high concentration plumes but the effect is much more pronounced during morning hours (</w:t>
      </w:r>
      <w:r w:rsidRPr="00665058">
        <w:rPr>
          <w:rFonts w:ascii="Times New Roman" w:hAnsi="Times New Roman" w:cs="Times New Roman"/>
          <w:sz w:val="24"/>
          <w:szCs w:val="24"/>
          <w:lang w:val="en-GB"/>
        </w:rPr>
        <w:t>06:00-12:00 LT).</w:t>
      </w:r>
      <w:r w:rsidRPr="00665058">
        <w:rPr>
          <w:rFonts w:ascii="Times New Roman" w:hAnsi="Times New Roman" w:cs="Times New Roman"/>
          <w:sz w:val="24"/>
          <w:szCs w:val="24"/>
        </w:rPr>
        <w:t xml:space="preserve"> Dust</w:t>
      </w:r>
      <w:r w:rsidRPr="00665058">
        <w:rPr>
          <w:rFonts w:ascii="Times New Roman" w:hAnsi="Times New Roman" w:cs="Times New Roman"/>
          <w:sz w:val="24"/>
          <w:szCs w:val="24"/>
          <w:lang w:val="en-GB"/>
        </w:rPr>
        <w:t xml:space="preserve"> factor followed by two biomass burning factors relative to other PMF factors appear to be the largest contributor to the ambient PM mass loading at the receptor location during the summer of 2012</w:t>
      </w:r>
      <w:r w:rsidRPr="00665058">
        <w:rPr>
          <w:rFonts w:ascii="Times New Roman" w:hAnsi="Times New Roman" w:cs="Times New Roman"/>
          <w:sz w:val="24"/>
          <w:szCs w:val="24"/>
        </w:rPr>
        <w:t xml:space="preserve">. Dust factor comes up with a broader peak from </w:t>
      </w:r>
      <w:r w:rsidRPr="00665058">
        <w:rPr>
          <w:rFonts w:ascii="Times New Roman" w:hAnsi="Times New Roman" w:cs="Times New Roman"/>
          <w:sz w:val="24"/>
          <w:szCs w:val="24"/>
          <w:lang w:val="en-GB"/>
        </w:rPr>
        <w:t>05:00 to 14:00 LT. Still, elevated</w:t>
      </w:r>
      <w:r w:rsidRPr="00665058">
        <w:rPr>
          <w:rFonts w:ascii="Times New Roman" w:hAnsi="Times New Roman" w:cs="Times New Roman"/>
          <w:sz w:val="24"/>
          <w:szCs w:val="24"/>
        </w:rPr>
        <w:t xml:space="preserve"> average factor contributions (&gt; 100 </w:t>
      </w:r>
      <w:r w:rsidRPr="00665058">
        <w:rPr>
          <w:rFonts w:ascii="Times New Roman" w:hAnsi="Times New Roman" w:cs="Times New Roman"/>
          <w:sz w:val="24"/>
          <w:szCs w:val="24"/>
          <w:lang w:val="en-GB"/>
        </w:rPr>
        <w:t>µg/m³</w:t>
      </w:r>
      <w:r w:rsidRPr="00665058">
        <w:rPr>
          <w:rFonts w:ascii="Times New Roman" w:hAnsi="Times New Roman" w:cs="Times New Roman"/>
          <w:sz w:val="24"/>
          <w:szCs w:val="24"/>
        </w:rPr>
        <w:t>) are observed all throughout the day (</w:t>
      </w:r>
      <w:r w:rsidRPr="00665058">
        <w:rPr>
          <w:rFonts w:ascii="Times New Roman" w:hAnsi="Times New Roman" w:cs="Times New Roman"/>
          <w:sz w:val="24"/>
          <w:szCs w:val="24"/>
          <w:lang w:val="en-GB"/>
        </w:rPr>
        <w:t>06:00-21:00 LT)</w:t>
      </w:r>
      <w:r w:rsidRPr="00665058">
        <w:rPr>
          <w:rFonts w:ascii="Times New Roman" w:hAnsi="Times New Roman" w:cs="Times New Roman"/>
          <w:sz w:val="24"/>
          <w:szCs w:val="24"/>
        </w:rPr>
        <w:t xml:space="preserve"> which is justified on the grounds of incessant construction activities near the receptor site. High daytime concentrations in diel variations of dust factor for the similar reasons at play has been reported for Delhi in multiple seasons (Rai et al., 2020; Shukla et al., 2021).  Dust factor contribution achieved a global maximum of </w:t>
      </w:r>
      <w:r w:rsidRPr="00665058">
        <w:rPr>
          <w:rFonts w:ascii="Times New Roman" w:hAnsi="Times New Roman" w:cs="Times New Roman"/>
          <w:sz w:val="24"/>
          <w:szCs w:val="24"/>
          <w:lang w:val="en-GB"/>
        </w:rPr>
        <w:t>PM</w:t>
      </w:r>
      <w:r w:rsidRPr="00665058">
        <w:rPr>
          <w:rFonts w:ascii="Times New Roman" w:hAnsi="Times New Roman" w:cs="Times New Roman"/>
          <w:sz w:val="24"/>
          <w:szCs w:val="24"/>
          <w:vertAlign w:val="subscript"/>
          <w:lang w:val="en-GB"/>
        </w:rPr>
        <w:t xml:space="preserve">10 </w:t>
      </w:r>
      <w:r w:rsidRPr="00665058">
        <w:rPr>
          <w:rFonts w:ascii="Times New Roman" w:hAnsi="Times New Roman" w:cs="Times New Roman"/>
          <w:sz w:val="24"/>
          <w:szCs w:val="24"/>
        </w:rPr>
        <w:t xml:space="preserve">~ 3000 </w:t>
      </w:r>
      <w:r w:rsidRPr="00665058">
        <w:rPr>
          <w:rFonts w:ascii="Times New Roman" w:hAnsi="Times New Roman" w:cs="Times New Roman"/>
          <w:sz w:val="24"/>
          <w:szCs w:val="24"/>
          <w:lang w:val="en-GB"/>
        </w:rPr>
        <w:t>µg/m³ and PM</w:t>
      </w:r>
      <w:r w:rsidRPr="00665058">
        <w:rPr>
          <w:rFonts w:ascii="Times New Roman" w:hAnsi="Times New Roman" w:cs="Times New Roman"/>
          <w:sz w:val="24"/>
          <w:szCs w:val="24"/>
          <w:vertAlign w:val="subscript"/>
          <w:lang w:val="en-GB"/>
        </w:rPr>
        <w:t>2.5</w:t>
      </w:r>
      <w:r w:rsidRPr="00665058">
        <w:rPr>
          <w:rFonts w:ascii="Times New Roman" w:hAnsi="Times New Roman" w:cs="Times New Roman"/>
          <w:sz w:val="24"/>
          <w:szCs w:val="24"/>
          <w:lang w:val="en-GB"/>
        </w:rPr>
        <w:t xml:space="preserve"> </w:t>
      </w:r>
      <w:r w:rsidRPr="00665058">
        <w:rPr>
          <w:rFonts w:ascii="Times New Roman" w:hAnsi="Times New Roman" w:cs="Times New Roman"/>
          <w:sz w:val="24"/>
          <w:szCs w:val="24"/>
        </w:rPr>
        <w:t xml:space="preserve">~ 900 </w:t>
      </w:r>
      <w:r w:rsidRPr="00665058">
        <w:rPr>
          <w:rFonts w:ascii="Times New Roman" w:hAnsi="Times New Roman" w:cs="Times New Roman"/>
          <w:sz w:val="24"/>
          <w:szCs w:val="24"/>
          <w:lang w:val="en-GB"/>
        </w:rPr>
        <w:t xml:space="preserve">µg/m³ </w:t>
      </w:r>
      <w:r w:rsidRPr="00665058">
        <w:rPr>
          <w:rFonts w:ascii="Times New Roman" w:hAnsi="Times New Roman" w:cs="Times New Roman"/>
          <w:sz w:val="24"/>
          <w:szCs w:val="24"/>
        </w:rPr>
        <w:t>on 17</w:t>
      </w:r>
      <w:r w:rsidRPr="00665058">
        <w:rPr>
          <w:rFonts w:ascii="Times New Roman" w:hAnsi="Times New Roman" w:cs="Times New Roman"/>
          <w:sz w:val="24"/>
          <w:szCs w:val="24"/>
          <w:vertAlign w:val="superscript"/>
        </w:rPr>
        <w:t>th</w:t>
      </w:r>
      <w:r w:rsidRPr="00665058">
        <w:rPr>
          <w:rFonts w:ascii="Times New Roman" w:hAnsi="Times New Roman" w:cs="Times New Roman"/>
          <w:sz w:val="24"/>
          <w:szCs w:val="24"/>
        </w:rPr>
        <w:t xml:space="preserve"> May 2012 at Mohali, when the site witnessed an extreme intensity dust storm. Other than this, four major peaks were visible in the dust factor time series with exceptionally high PM</w:t>
      </w:r>
      <w:r w:rsidRPr="00665058">
        <w:rPr>
          <w:rFonts w:ascii="Times New Roman" w:hAnsi="Times New Roman" w:cs="Times New Roman"/>
          <w:sz w:val="24"/>
          <w:szCs w:val="24"/>
          <w:vertAlign w:val="subscript"/>
        </w:rPr>
        <w:t>10</w:t>
      </w:r>
      <w:r w:rsidRPr="00665058">
        <w:rPr>
          <w:rFonts w:ascii="Times New Roman" w:hAnsi="Times New Roman" w:cs="Times New Roman"/>
          <w:sz w:val="24"/>
          <w:szCs w:val="24"/>
        </w:rPr>
        <w:t xml:space="preserve"> peak values (~ 1000 </w:t>
      </w:r>
      <w:r w:rsidRPr="00665058">
        <w:rPr>
          <w:rFonts w:ascii="Times New Roman" w:hAnsi="Times New Roman" w:cs="Times New Roman"/>
          <w:sz w:val="24"/>
          <w:szCs w:val="24"/>
          <w:lang w:val="en-GB"/>
        </w:rPr>
        <w:t>µg/m³ on 12</w:t>
      </w:r>
      <w:r w:rsidRPr="00665058">
        <w:rPr>
          <w:rFonts w:ascii="Times New Roman" w:hAnsi="Times New Roman" w:cs="Times New Roman"/>
          <w:sz w:val="24"/>
          <w:szCs w:val="24"/>
          <w:vertAlign w:val="superscript"/>
          <w:lang w:val="en-GB"/>
        </w:rPr>
        <w:t>th</w:t>
      </w:r>
      <w:r w:rsidRPr="00665058">
        <w:rPr>
          <w:rFonts w:ascii="Times New Roman" w:hAnsi="Times New Roman" w:cs="Times New Roman"/>
          <w:sz w:val="24"/>
          <w:szCs w:val="24"/>
          <w:lang w:val="en-GB"/>
        </w:rPr>
        <w:t xml:space="preserve"> May, ~ </w:t>
      </w:r>
      <w:r w:rsidRPr="00665058">
        <w:rPr>
          <w:rFonts w:ascii="Times New Roman" w:hAnsi="Times New Roman" w:cs="Times New Roman"/>
          <w:sz w:val="24"/>
          <w:szCs w:val="24"/>
        </w:rPr>
        <w:t xml:space="preserve">700 </w:t>
      </w:r>
      <w:r w:rsidRPr="00665058">
        <w:rPr>
          <w:rFonts w:ascii="Times New Roman" w:hAnsi="Times New Roman" w:cs="Times New Roman"/>
          <w:sz w:val="24"/>
          <w:szCs w:val="24"/>
          <w:lang w:val="en-GB"/>
        </w:rPr>
        <w:t>µg/m³ on 14</w:t>
      </w:r>
      <w:r w:rsidRPr="00665058">
        <w:rPr>
          <w:rFonts w:ascii="Times New Roman" w:hAnsi="Times New Roman" w:cs="Times New Roman"/>
          <w:sz w:val="24"/>
          <w:szCs w:val="24"/>
          <w:vertAlign w:val="superscript"/>
          <w:lang w:val="en-GB"/>
        </w:rPr>
        <w:t>th</w:t>
      </w:r>
      <w:r w:rsidRPr="00665058">
        <w:rPr>
          <w:rFonts w:ascii="Times New Roman" w:hAnsi="Times New Roman" w:cs="Times New Roman"/>
          <w:sz w:val="24"/>
          <w:szCs w:val="24"/>
          <w:lang w:val="en-GB"/>
        </w:rPr>
        <w:t xml:space="preserve"> May, ~ </w:t>
      </w:r>
      <w:r w:rsidRPr="00665058">
        <w:rPr>
          <w:rFonts w:ascii="Times New Roman" w:hAnsi="Times New Roman" w:cs="Times New Roman"/>
          <w:sz w:val="24"/>
          <w:szCs w:val="24"/>
        </w:rPr>
        <w:t xml:space="preserve">900 </w:t>
      </w:r>
      <w:r w:rsidRPr="00665058">
        <w:rPr>
          <w:rFonts w:ascii="Times New Roman" w:hAnsi="Times New Roman" w:cs="Times New Roman"/>
          <w:sz w:val="24"/>
          <w:szCs w:val="24"/>
          <w:lang w:val="en-GB"/>
        </w:rPr>
        <w:t>µg/m³ on 21</w:t>
      </w:r>
      <w:r w:rsidRPr="00665058">
        <w:rPr>
          <w:rFonts w:ascii="Times New Roman" w:hAnsi="Times New Roman" w:cs="Times New Roman"/>
          <w:sz w:val="24"/>
          <w:szCs w:val="24"/>
          <w:vertAlign w:val="superscript"/>
          <w:lang w:val="en-GB"/>
        </w:rPr>
        <w:t>st</w:t>
      </w:r>
      <w:r w:rsidRPr="00665058">
        <w:rPr>
          <w:rFonts w:ascii="Times New Roman" w:hAnsi="Times New Roman" w:cs="Times New Roman"/>
          <w:sz w:val="24"/>
          <w:szCs w:val="24"/>
          <w:lang w:val="en-GB"/>
        </w:rPr>
        <w:t xml:space="preserve"> May, ~ </w:t>
      </w:r>
      <w:r w:rsidRPr="00665058">
        <w:rPr>
          <w:rFonts w:ascii="Times New Roman" w:hAnsi="Times New Roman" w:cs="Times New Roman"/>
          <w:sz w:val="24"/>
          <w:szCs w:val="24"/>
        </w:rPr>
        <w:t xml:space="preserve">600 </w:t>
      </w:r>
      <w:r w:rsidRPr="00665058">
        <w:rPr>
          <w:rFonts w:ascii="Times New Roman" w:hAnsi="Times New Roman" w:cs="Times New Roman"/>
          <w:sz w:val="24"/>
          <w:szCs w:val="24"/>
          <w:lang w:val="en-GB"/>
        </w:rPr>
        <w:t>µg/m³ on 24</w:t>
      </w:r>
      <w:r w:rsidRPr="00665058">
        <w:rPr>
          <w:rFonts w:ascii="Times New Roman" w:hAnsi="Times New Roman" w:cs="Times New Roman"/>
          <w:sz w:val="24"/>
          <w:szCs w:val="24"/>
          <w:vertAlign w:val="superscript"/>
          <w:lang w:val="en-GB"/>
        </w:rPr>
        <w:t>th</w:t>
      </w:r>
      <w:r w:rsidRPr="00665058">
        <w:rPr>
          <w:rFonts w:ascii="Times New Roman" w:hAnsi="Times New Roman" w:cs="Times New Roman"/>
          <w:sz w:val="24"/>
          <w:szCs w:val="24"/>
          <w:lang w:val="en-GB"/>
        </w:rPr>
        <w:t xml:space="preserve"> May</w:t>
      </w:r>
      <w:r w:rsidRPr="00665058">
        <w:rPr>
          <w:rFonts w:ascii="Times New Roman" w:hAnsi="Times New Roman" w:cs="Times New Roman"/>
          <w:sz w:val="24"/>
          <w:szCs w:val="24"/>
        </w:rPr>
        <w:t xml:space="preserve">). This is consistent with the regular and frequent occurrence of dust storm events at IGP sites in the pre monsoon months, i.e., from March to June every year (Dey et al., 2004). Various studies have reported and analysed heavy dust storms that occurred in March 2012, April 2015, May 2018 over NW-IGP (Singh et al., 2016; Kedia et al., 2018; Sarkar et al., 2019). Moreover, May dust storms are known to have </w:t>
      </w:r>
      <w:r w:rsidRPr="00665058">
        <w:rPr>
          <w:rFonts w:ascii="Times New Roman" w:hAnsi="Times New Roman" w:cs="Times New Roman"/>
          <w:sz w:val="24"/>
          <w:szCs w:val="24"/>
        </w:rPr>
        <w:lastRenderedPageBreak/>
        <w:t>the potential of worsening the air quality manifold. Sarkar and co-workers  reported three severe dust storm events in May 2018 over IGP which massively impacted the air quality and resulted in huge loss of life and property (Sarkar et al., 2019).</w:t>
      </w:r>
    </w:p>
    <w:p w14:paraId="4BE620C0" w14:textId="77777777" w:rsidR="00665058" w:rsidRPr="00665058" w:rsidRDefault="00665058" w:rsidP="00665058">
      <w:pPr>
        <w:spacing w:line="360" w:lineRule="auto"/>
        <w:jc w:val="both"/>
        <w:rPr>
          <w:rFonts w:ascii="Times New Roman" w:hAnsi="Times New Roman" w:cs="Times New Roman"/>
          <w:sz w:val="24"/>
          <w:szCs w:val="24"/>
        </w:rPr>
      </w:pPr>
      <w:r w:rsidRPr="00665058">
        <w:rPr>
          <w:rFonts w:ascii="Times New Roman" w:hAnsi="Times New Roman" w:cs="Times New Roman"/>
          <w:sz w:val="24"/>
          <w:szCs w:val="24"/>
        </w:rPr>
        <w:t>The mixed daytime factor with a distinct diel profile like that of dust factor stipulates a strong daytime source and shows stable peak values for about 8 hours (10:00 – 17:00 LT). Here, averages generally equal the median. Thus, no occasional plumes can be identified in this case. Both, dust factor and the mixed daytime factor in comparison to the remaining factors sees higher fraction of coarse mode PM throughout the daytime.</w:t>
      </w:r>
    </w:p>
    <w:p w14:paraId="56833BFE" w14:textId="77777777" w:rsidR="00665058" w:rsidRPr="00665058" w:rsidRDefault="00665058" w:rsidP="00665058">
      <w:pPr>
        <w:spacing w:line="360" w:lineRule="auto"/>
        <w:jc w:val="both"/>
        <w:rPr>
          <w:rFonts w:ascii="Times New Roman" w:hAnsi="Times New Roman" w:cs="Times New Roman"/>
          <w:sz w:val="24"/>
          <w:szCs w:val="24"/>
        </w:rPr>
      </w:pPr>
      <w:r w:rsidRPr="00665058">
        <w:rPr>
          <w:rFonts w:ascii="Times New Roman" w:hAnsi="Times New Roman" w:cs="Times New Roman"/>
          <w:sz w:val="24"/>
          <w:szCs w:val="24"/>
        </w:rPr>
        <w:t xml:space="preserve">All factors other than the dust and mixed daytime presents a bimodal variation as the day progresses. Other factors come up with distinguished peaks in morning (04:00 – 09:00 LT) and evening (19:00 LT onwards) hours which answer for traffic rush hours and build-up of emissions from industries and biomass burning in shallow boundary layer during morning and night time. Their contribution during daytime decreases as the boundary layer grows accompanied by dilutions due to ongoing photochemistry. The peak timings generally witness higher average values than the median, pointing out the effect brought by certain high-concentration plumes. </w:t>
      </w:r>
    </w:p>
    <w:p w14:paraId="03A15BBD" w14:textId="77777777" w:rsidR="00665058" w:rsidRPr="00665058" w:rsidRDefault="00665058" w:rsidP="00665058">
      <w:pPr>
        <w:spacing w:line="360" w:lineRule="auto"/>
        <w:jc w:val="both"/>
        <w:rPr>
          <w:rFonts w:ascii="Times New Roman" w:hAnsi="Times New Roman" w:cs="Times New Roman"/>
          <w:sz w:val="24"/>
          <w:szCs w:val="24"/>
          <w:lang w:val="en-GB"/>
        </w:rPr>
      </w:pPr>
      <w:r w:rsidRPr="00665058">
        <w:rPr>
          <w:rFonts w:ascii="Times New Roman" w:hAnsi="Times New Roman" w:cs="Times New Roman"/>
          <w:bCs/>
          <w:sz w:val="24"/>
          <w:szCs w:val="24"/>
          <w:lang w:val="en-US"/>
        </w:rPr>
        <w:t>It is important to note that the nighttime peaks are markedly more pronounced (almost double) as compared to the morning enhancements in case of “cars” and “two-wheelers” source categories. The reason for this is attributed to the boundary layer dynamics plus the intensity of traffic activity during morning and nighttime hours. By the time traffic activity starts picking up in the morning with opening of schools, colleges, offices, market places; boundary layer already is already broken up which results in diluted concentrations. However, during the evening hours, the boundary layer stabilizes causing emissions to accumulate and leading to higher nighttime peak values.</w:t>
      </w:r>
      <w:r w:rsidRPr="00665058">
        <w:rPr>
          <w:rFonts w:ascii="Times New Roman" w:hAnsi="Times New Roman" w:cs="Times New Roman"/>
          <w:sz w:val="24"/>
          <w:szCs w:val="24"/>
        </w:rPr>
        <w:t xml:space="preserve">Excluding the dust factor, the average factor contribution from all others lies between 2-70 </w:t>
      </w:r>
      <w:r w:rsidRPr="00665058">
        <w:rPr>
          <w:rFonts w:ascii="Times New Roman" w:hAnsi="Times New Roman" w:cs="Times New Roman"/>
          <w:sz w:val="24"/>
          <w:szCs w:val="24"/>
          <w:lang w:val="en-GB"/>
        </w:rPr>
        <w:t>µg/m³ for PM</w:t>
      </w:r>
      <w:r w:rsidRPr="00665058">
        <w:rPr>
          <w:rFonts w:ascii="Times New Roman" w:hAnsi="Times New Roman" w:cs="Times New Roman"/>
          <w:sz w:val="24"/>
          <w:szCs w:val="24"/>
          <w:vertAlign w:val="subscript"/>
          <w:lang w:val="en-GB"/>
        </w:rPr>
        <w:t xml:space="preserve">10 </w:t>
      </w:r>
      <w:r w:rsidRPr="00665058">
        <w:rPr>
          <w:rFonts w:ascii="Times New Roman" w:hAnsi="Times New Roman" w:cs="Times New Roman"/>
          <w:sz w:val="24"/>
          <w:szCs w:val="24"/>
          <w:lang w:val="en-GB"/>
        </w:rPr>
        <w:t xml:space="preserve">and </w:t>
      </w:r>
      <w:r w:rsidRPr="00665058">
        <w:rPr>
          <w:rFonts w:ascii="Times New Roman" w:hAnsi="Times New Roman" w:cs="Times New Roman"/>
          <w:sz w:val="24"/>
          <w:szCs w:val="24"/>
        </w:rPr>
        <w:t xml:space="preserve">1-50 </w:t>
      </w:r>
      <w:r w:rsidRPr="00665058">
        <w:rPr>
          <w:rFonts w:ascii="Times New Roman" w:hAnsi="Times New Roman" w:cs="Times New Roman"/>
          <w:sz w:val="24"/>
          <w:szCs w:val="24"/>
          <w:lang w:val="en-GB"/>
        </w:rPr>
        <w:t>µg/m³ for PM</w:t>
      </w:r>
      <w:r w:rsidRPr="00665058">
        <w:rPr>
          <w:rFonts w:ascii="Times New Roman" w:hAnsi="Times New Roman" w:cs="Times New Roman"/>
          <w:sz w:val="24"/>
          <w:szCs w:val="24"/>
          <w:vertAlign w:val="subscript"/>
          <w:lang w:val="en-GB"/>
        </w:rPr>
        <w:t>2.5</w:t>
      </w:r>
      <w:r w:rsidRPr="00665058">
        <w:rPr>
          <w:rFonts w:ascii="Times New Roman" w:hAnsi="Times New Roman" w:cs="Times New Roman"/>
          <w:sz w:val="24"/>
          <w:szCs w:val="24"/>
          <w:lang w:val="en-GB"/>
        </w:rPr>
        <w:t>. The two biomass-burning factors contribute significantly to the ambient PM loading (Average PM</w:t>
      </w:r>
      <w:r w:rsidRPr="00665058">
        <w:rPr>
          <w:rFonts w:ascii="Times New Roman" w:hAnsi="Times New Roman" w:cs="Times New Roman"/>
          <w:sz w:val="24"/>
          <w:szCs w:val="24"/>
          <w:vertAlign w:val="subscript"/>
          <w:lang w:val="en-GB"/>
        </w:rPr>
        <w:t xml:space="preserve">10 </w:t>
      </w:r>
      <w:r w:rsidRPr="00665058">
        <w:rPr>
          <w:rFonts w:ascii="Times New Roman" w:hAnsi="Times New Roman" w:cs="Times New Roman"/>
          <w:sz w:val="24"/>
          <w:szCs w:val="24"/>
          <w:lang w:val="en-GB"/>
        </w:rPr>
        <w:t>&gt;</w:t>
      </w:r>
      <w:r w:rsidRPr="00665058">
        <w:rPr>
          <w:rFonts w:ascii="Times New Roman" w:hAnsi="Times New Roman" w:cs="Times New Roman"/>
          <w:sz w:val="24"/>
          <w:szCs w:val="24"/>
        </w:rPr>
        <w:t xml:space="preserve">15 </w:t>
      </w:r>
      <w:r w:rsidRPr="00665058">
        <w:rPr>
          <w:rFonts w:ascii="Times New Roman" w:hAnsi="Times New Roman" w:cs="Times New Roman"/>
          <w:sz w:val="24"/>
          <w:szCs w:val="24"/>
          <w:lang w:val="en-GB"/>
        </w:rPr>
        <w:t>µg/m³ and Average PM</w:t>
      </w:r>
      <w:r w:rsidRPr="00665058">
        <w:rPr>
          <w:rFonts w:ascii="Times New Roman" w:hAnsi="Times New Roman" w:cs="Times New Roman"/>
          <w:sz w:val="24"/>
          <w:szCs w:val="24"/>
          <w:vertAlign w:val="subscript"/>
          <w:lang w:val="en-GB"/>
        </w:rPr>
        <w:t xml:space="preserve">2.5 </w:t>
      </w:r>
      <w:r w:rsidRPr="00665058">
        <w:rPr>
          <w:rFonts w:ascii="Times New Roman" w:hAnsi="Times New Roman" w:cs="Times New Roman"/>
          <w:sz w:val="24"/>
          <w:szCs w:val="24"/>
          <w:lang w:val="en-GB"/>
        </w:rPr>
        <w:t>&gt;</w:t>
      </w:r>
      <w:r w:rsidRPr="00665058">
        <w:rPr>
          <w:rFonts w:ascii="Times New Roman" w:hAnsi="Times New Roman" w:cs="Times New Roman"/>
          <w:sz w:val="24"/>
          <w:szCs w:val="24"/>
        </w:rPr>
        <w:t xml:space="preserve">9 </w:t>
      </w:r>
      <w:r w:rsidRPr="00665058">
        <w:rPr>
          <w:rFonts w:ascii="Times New Roman" w:hAnsi="Times New Roman" w:cs="Times New Roman"/>
          <w:sz w:val="24"/>
          <w:szCs w:val="24"/>
          <w:lang w:val="en-GB"/>
        </w:rPr>
        <w:t>µg/m³) at the receptor location</w:t>
      </w:r>
      <w:r w:rsidRPr="00665058">
        <w:rPr>
          <w:rFonts w:ascii="Times New Roman" w:hAnsi="Times New Roman" w:cs="Times New Roman"/>
          <w:sz w:val="24"/>
          <w:szCs w:val="24"/>
        </w:rPr>
        <w:t xml:space="preserve">. Overall consistent and minimal PM factor contribution with values fluctuating around 1-2 </w:t>
      </w:r>
      <w:r w:rsidRPr="00665058">
        <w:rPr>
          <w:rFonts w:ascii="Times New Roman" w:hAnsi="Times New Roman" w:cs="Times New Roman"/>
          <w:sz w:val="24"/>
          <w:szCs w:val="24"/>
          <w:lang w:val="en-GB"/>
        </w:rPr>
        <w:t xml:space="preserve">µg/m³ throughout the daytime is due to traffic and industrial source. </w:t>
      </w:r>
    </w:p>
    <w:p w14:paraId="6E5E5450" w14:textId="60491AAE" w:rsidR="00025D98" w:rsidRPr="00E66FEA" w:rsidRDefault="00025D98" w:rsidP="00665058">
      <w:pPr>
        <w:spacing w:line="360" w:lineRule="auto"/>
        <w:jc w:val="both"/>
        <w:rPr>
          <w:rFonts w:ascii="Times New Roman" w:hAnsi="Times New Roman" w:cs="Times New Roman"/>
          <w:sz w:val="24"/>
          <w:szCs w:val="24"/>
        </w:rPr>
      </w:pPr>
    </w:p>
    <w:p w14:paraId="060F99DA" w14:textId="77777777" w:rsidR="00F331F1" w:rsidRPr="00E66FEA" w:rsidRDefault="00F331F1" w:rsidP="00E66FEA">
      <w:pPr>
        <w:spacing w:line="360" w:lineRule="auto"/>
        <w:jc w:val="center"/>
        <w:rPr>
          <w:rFonts w:ascii="Times New Roman" w:hAnsi="Times New Roman" w:cs="Times New Roman"/>
          <w:sz w:val="24"/>
          <w:szCs w:val="24"/>
        </w:rPr>
      </w:pPr>
      <w:r w:rsidRPr="00E66FEA">
        <w:rPr>
          <w:rFonts w:ascii="Times New Roman" w:hAnsi="Times New Roman" w:cs="Times New Roman"/>
          <w:noProof/>
          <w:sz w:val="24"/>
          <w:szCs w:val="24"/>
          <w:lang w:eastAsia="en-IN"/>
        </w:rPr>
        <w:lastRenderedPageBreak/>
        <w:drawing>
          <wp:inline distT="0" distB="0" distL="0" distR="0" wp14:anchorId="36A79CF4" wp14:editId="4D1B746D">
            <wp:extent cx="5200650" cy="8020502"/>
            <wp:effectExtent l="0" t="0" r="0" b="0"/>
            <wp:docPr id="63239808" name="Picture 63239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218231" cy="8047616"/>
                    </a:xfrm>
                    <a:prstGeom prst="rect">
                      <a:avLst/>
                    </a:prstGeom>
                    <a:noFill/>
                    <a:ln>
                      <a:noFill/>
                    </a:ln>
                  </pic:spPr>
                </pic:pic>
              </a:graphicData>
            </a:graphic>
          </wp:inline>
        </w:drawing>
      </w:r>
    </w:p>
    <w:p w14:paraId="55715071" w14:textId="4743B1A8" w:rsidR="00025D98" w:rsidRDefault="003E0353" w:rsidP="00E66FEA">
      <w:pPr>
        <w:pStyle w:val="Caption"/>
        <w:spacing w:line="360" w:lineRule="auto"/>
        <w:jc w:val="both"/>
        <w:rPr>
          <w:rFonts w:ascii="Times New Roman" w:hAnsi="Times New Roman" w:cs="Times New Roman"/>
          <w:noProof/>
          <w:color w:val="auto"/>
          <w:sz w:val="24"/>
          <w:szCs w:val="24"/>
        </w:rPr>
      </w:pPr>
      <w:bookmarkStart w:id="80" w:name="_Toc133577947"/>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6</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PM</w:t>
      </w:r>
      <w:r w:rsidR="00F331F1" w:rsidRPr="00E66FEA">
        <w:rPr>
          <w:rFonts w:ascii="Times New Roman" w:hAnsi="Times New Roman" w:cs="Times New Roman"/>
          <w:noProof/>
          <w:color w:val="auto"/>
          <w:sz w:val="24"/>
          <w:szCs w:val="24"/>
          <w:vertAlign w:val="subscript"/>
        </w:rPr>
        <w:t>10</w:t>
      </w:r>
      <w:r w:rsidR="00F331F1" w:rsidRPr="00E66FEA">
        <w:rPr>
          <w:rFonts w:ascii="Times New Roman" w:hAnsi="Times New Roman" w:cs="Times New Roman"/>
          <w:noProof/>
          <w:color w:val="auto"/>
          <w:sz w:val="24"/>
          <w:szCs w:val="24"/>
        </w:rPr>
        <w:t xml:space="preserve"> and PM</w:t>
      </w:r>
      <w:r w:rsidR="00F331F1" w:rsidRPr="00E66FEA">
        <w:rPr>
          <w:rFonts w:ascii="Times New Roman" w:hAnsi="Times New Roman" w:cs="Times New Roman"/>
          <w:noProof/>
          <w:color w:val="auto"/>
          <w:sz w:val="24"/>
          <w:szCs w:val="24"/>
          <w:vertAlign w:val="subscript"/>
        </w:rPr>
        <w:t>2.5</w:t>
      </w:r>
      <w:r w:rsidR="00F331F1" w:rsidRPr="00E66FEA">
        <w:rPr>
          <w:rFonts w:ascii="Times New Roman" w:hAnsi="Times New Roman" w:cs="Times New Roman"/>
          <w:noProof/>
          <w:color w:val="auto"/>
          <w:sz w:val="24"/>
          <w:szCs w:val="24"/>
        </w:rPr>
        <w:t xml:space="preserve"> time series of PMF derived factor contributions (left panel). Diel box and whisker plots for seven source categories (right panel). Width of the box </w:t>
      </w:r>
      <w:r w:rsidR="00F331F1" w:rsidRPr="00E66FEA">
        <w:rPr>
          <w:rFonts w:ascii="Times New Roman" w:hAnsi="Times New Roman" w:cs="Times New Roman"/>
          <w:noProof/>
          <w:color w:val="auto"/>
          <w:sz w:val="24"/>
          <w:szCs w:val="24"/>
        </w:rPr>
        <w:lastRenderedPageBreak/>
        <w:t>gives 25th and 75th percentiles, 50th percentile/median partitions the box; data averages are given by solid circles and whiskers represent 10th and 90th percentiles of the dataset.</w:t>
      </w:r>
      <w:bookmarkEnd w:id="80"/>
    </w:p>
    <w:p w14:paraId="59473963" w14:textId="60540700" w:rsidR="00F331F1" w:rsidRPr="006C3248" w:rsidRDefault="00F331F1" w:rsidP="006C3248">
      <w:pPr>
        <w:pStyle w:val="ListParagraph"/>
        <w:keepNext/>
        <w:keepLines/>
        <w:numPr>
          <w:ilvl w:val="2"/>
          <w:numId w:val="26"/>
        </w:numPr>
        <w:spacing w:before="40" w:after="0" w:line="360" w:lineRule="auto"/>
        <w:outlineLvl w:val="3"/>
        <w:rPr>
          <w:rFonts w:ascii="Times New Roman" w:eastAsiaTheme="majorEastAsia" w:hAnsi="Times New Roman" w:cs="Times New Roman"/>
          <w:b/>
          <w:bCs/>
          <w:sz w:val="24"/>
          <w:szCs w:val="24"/>
        </w:rPr>
      </w:pPr>
      <w:r w:rsidRPr="00E66FEA">
        <w:rPr>
          <w:rFonts w:ascii="Times New Roman" w:eastAsiaTheme="majorEastAsia" w:hAnsi="Times New Roman" w:cs="Times New Roman"/>
          <w:b/>
          <w:bCs/>
          <w:sz w:val="24"/>
          <w:szCs w:val="24"/>
        </w:rPr>
        <w:t>PM</w:t>
      </w:r>
      <w:r w:rsidRPr="00E66FEA">
        <w:rPr>
          <w:rFonts w:ascii="Times New Roman" w:eastAsiaTheme="majorEastAsia" w:hAnsi="Times New Roman" w:cs="Times New Roman"/>
          <w:b/>
          <w:bCs/>
          <w:sz w:val="24"/>
          <w:szCs w:val="24"/>
          <w:vertAlign w:val="subscript"/>
        </w:rPr>
        <w:t>10</w:t>
      </w:r>
      <w:r w:rsidRPr="00E66FEA">
        <w:rPr>
          <w:rFonts w:ascii="Times New Roman" w:eastAsiaTheme="majorEastAsia" w:hAnsi="Times New Roman" w:cs="Times New Roman"/>
          <w:b/>
          <w:bCs/>
          <w:sz w:val="24"/>
          <w:szCs w:val="24"/>
        </w:rPr>
        <w:t xml:space="preserve"> and PM</w:t>
      </w:r>
      <w:r w:rsidRPr="00E66FEA">
        <w:rPr>
          <w:rFonts w:ascii="Times New Roman" w:eastAsiaTheme="majorEastAsia" w:hAnsi="Times New Roman" w:cs="Times New Roman"/>
          <w:b/>
          <w:bCs/>
          <w:sz w:val="24"/>
          <w:szCs w:val="24"/>
          <w:vertAlign w:val="subscript"/>
        </w:rPr>
        <w:t>2.5</w:t>
      </w:r>
      <w:r w:rsidRPr="00E66FEA">
        <w:rPr>
          <w:rFonts w:ascii="Times New Roman" w:eastAsiaTheme="majorEastAsia" w:hAnsi="Times New Roman" w:cs="Times New Roman"/>
          <w:b/>
          <w:bCs/>
          <w:sz w:val="24"/>
          <w:szCs w:val="24"/>
        </w:rPr>
        <w:t xml:space="preserve"> emission sources</w:t>
      </w:r>
      <w:r w:rsidR="0083196D">
        <w:rPr>
          <w:rFonts w:ascii="Times New Roman" w:eastAsiaTheme="majorEastAsia" w:hAnsi="Times New Roman" w:cs="Times New Roman"/>
          <w:b/>
          <w:bCs/>
          <w:sz w:val="24"/>
          <w:szCs w:val="24"/>
        </w:rPr>
        <w:t xml:space="preserve"> and source directionality</w:t>
      </w:r>
    </w:p>
    <w:p w14:paraId="0EC989B9" w14:textId="78C0AFA3" w:rsidR="006C3248" w:rsidRPr="00E66FEA" w:rsidRDefault="006C3248" w:rsidP="006B6BD6">
      <w:pPr>
        <w:spacing w:line="360" w:lineRule="auto"/>
        <w:jc w:val="center"/>
        <w:rPr>
          <w:rFonts w:ascii="Times New Roman" w:hAnsi="Times New Roman" w:cs="Times New Roman"/>
          <w:sz w:val="24"/>
          <w:szCs w:val="24"/>
        </w:rPr>
      </w:pPr>
      <w:r w:rsidRPr="006C3248">
        <w:rPr>
          <w:rFonts w:ascii="Times New Roman" w:hAnsi="Times New Roman" w:cs="Times New Roman"/>
          <w:noProof/>
          <w:sz w:val="24"/>
          <w:szCs w:val="24"/>
          <w:lang w:eastAsia="en-IN"/>
        </w:rPr>
        <w:drawing>
          <wp:inline distT="0" distB="0" distL="0" distR="0" wp14:anchorId="45421983" wp14:editId="458D7B27">
            <wp:extent cx="5887469" cy="1800225"/>
            <wp:effectExtent l="0" t="0" r="0" b="0"/>
            <wp:docPr id="5" name="Picture 5" descr="C:\Users\HP\Desktop\1-s2.0-S2666049023000269-gr7_lr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1-s2.0-S2666049023000269-gr7_lrg.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889720" cy="1800913"/>
                    </a:xfrm>
                    <a:prstGeom prst="rect">
                      <a:avLst/>
                    </a:prstGeom>
                    <a:noFill/>
                    <a:ln>
                      <a:noFill/>
                    </a:ln>
                  </pic:spPr>
                </pic:pic>
              </a:graphicData>
            </a:graphic>
          </wp:inline>
        </w:drawing>
      </w:r>
    </w:p>
    <w:p w14:paraId="1C717B0F" w14:textId="515FA7B3" w:rsidR="00F331F1" w:rsidRPr="00E66FEA" w:rsidRDefault="003E0353" w:rsidP="00E66FEA">
      <w:pPr>
        <w:pStyle w:val="Caption"/>
        <w:spacing w:line="360" w:lineRule="auto"/>
        <w:jc w:val="both"/>
        <w:rPr>
          <w:rFonts w:ascii="Times New Roman" w:hAnsi="Times New Roman" w:cs="Times New Roman"/>
          <w:noProof/>
          <w:color w:val="auto"/>
          <w:sz w:val="24"/>
          <w:szCs w:val="24"/>
        </w:rPr>
      </w:pPr>
      <w:bookmarkStart w:id="81" w:name="_Toc133577948"/>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7</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Sources and their relative contributions to the ambient PM</w:t>
      </w:r>
      <w:r w:rsidR="00F331F1" w:rsidRPr="00E66FEA">
        <w:rPr>
          <w:rFonts w:ascii="Times New Roman" w:hAnsi="Times New Roman" w:cs="Times New Roman"/>
          <w:noProof/>
          <w:color w:val="auto"/>
          <w:sz w:val="24"/>
          <w:szCs w:val="24"/>
          <w:vertAlign w:val="subscript"/>
        </w:rPr>
        <w:t>10</w:t>
      </w:r>
      <w:r w:rsidR="00F331F1" w:rsidRPr="00E66FEA">
        <w:rPr>
          <w:rFonts w:ascii="Times New Roman" w:hAnsi="Times New Roman" w:cs="Times New Roman"/>
          <w:noProof/>
          <w:color w:val="auto"/>
          <w:sz w:val="24"/>
          <w:szCs w:val="24"/>
        </w:rPr>
        <w:t xml:space="preserve"> and PM</w:t>
      </w:r>
      <w:r w:rsidR="00F331F1" w:rsidRPr="00E66FEA">
        <w:rPr>
          <w:rFonts w:ascii="Times New Roman" w:hAnsi="Times New Roman" w:cs="Times New Roman"/>
          <w:noProof/>
          <w:color w:val="auto"/>
          <w:sz w:val="24"/>
          <w:szCs w:val="24"/>
          <w:vertAlign w:val="subscript"/>
        </w:rPr>
        <w:t>2.5</w:t>
      </w:r>
      <w:r w:rsidR="00F331F1" w:rsidRPr="00E66FEA">
        <w:rPr>
          <w:rFonts w:ascii="Times New Roman" w:hAnsi="Times New Roman" w:cs="Times New Roman"/>
          <w:noProof/>
          <w:color w:val="auto"/>
          <w:sz w:val="24"/>
          <w:szCs w:val="24"/>
        </w:rPr>
        <w:t xml:space="preserve"> at the receptor site</w:t>
      </w:r>
      <w:bookmarkEnd w:id="81"/>
    </w:p>
    <w:p w14:paraId="454FFAD1" w14:textId="2A3FCC1A" w:rsidR="00802A27" w:rsidRPr="00802A27" w:rsidRDefault="00802A27" w:rsidP="00802A27">
      <w:pPr>
        <w:spacing w:after="0" w:line="360" w:lineRule="auto"/>
        <w:jc w:val="both"/>
        <w:rPr>
          <w:rFonts w:ascii="Times New Roman" w:hAnsi="Times New Roman" w:cs="Times New Roman"/>
          <w:sz w:val="24"/>
          <w:szCs w:val="24"/>
        </w:rPr>
      </w:pPr>
      <w:r w:rsidRPr="00802A27">
        <w:rPr>
          <w:rFonts w:ascii="Times New Roman" w:hAnsi="Times New Roman" w:cs="Times New Roman"/>
          <w:sz w:val="24"/>
          <w:szCs w:val="24"/>
        </w:rPr>
        <w:t>The emission sources responsible for causing particle pollution in Mohali summers, based on results derived out of PMF model application to ambient PM and VOC measurements are shown in Fig. 4.7. In general, dust accounts for ~70% of the total aerosol loading in the atmosphere (Xia et al., 2021). Threefold aerosol loading in comparison with the global mean is reported over the Indian subcontinent because of very high dust contributions (Dey and Di Girolamo, 2010). The PMF model dust factor followed by two biomass burning factors takes the lead in contributing to 85.2-85.8% of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and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emissions in Mohali. The share of dust factor to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(48.8%) and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(33.6%) emissions at Mohali is comparable to the dust factor contributions to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(55%) and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(21%) at Delhi from System of Air Quality and Weather Forecasting and Research (SAFAR) emission inventory (Beig et al., 2020). Similar dust factor percentages are reported for PM at a site in southern India, i.e., in Hyderabad city using chemical mass balance model (Gummeneni et al., 2011). In addition, 30-50% share of dust factor to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and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mass loadings is consistently matched at several sites in Northern India including Delhi, Kanpur and Agra (Banerjee et al., 2015). </w:t>
      </w:r>
    </w:p>
    <w:p w14:paraId="2855F646" w14:textId="77777777" w:rsidR="00802A27" w:rsidRPr="00802A27" w:rsidRDefault="00802A27" w:rsidP="00802A27">
      <w:pPr>
        <w:spacing w:after="0" w:line="360" w:lineRule="auto"/>
        <w:jc w:val="both"/>
        <w:rPr>
          <w:rFonts w:ascii="Times New Roman" w:hAnsi="Times New Roman" w:cs="Times New Roman"/>
          <w:sz w:val="24"/>
          <w:szCs w:val="24"/>
        </w:rPr>
      </w:pPr>
      <w:r w:rsidRPr="00802A27">
        <w:rPr>
          <w:rFonts w:ascii="Times New Roman" w:hAnsi="Times New Roman" w:cs="Times New Roman"/>
          <w:sz w:val="24"/>
          <w:szCs w:val="24"/>
        </w:rPr>
        <w:t xml:space="preserve">On the overall , dust and traffic emissions are found to be the major contributors to particulate matter pollution in India (Garaga et al., 2018). A detailed comparison of current source apportionment study results with sites like Chandigarh, Delhi, Kanpur and Agra in Northern India reveals close alignment in terms of identified source categories and their respective source contributions. At a background site in Chandigarh, major </w:t>
      </w:r>
      <w:r w:rsidRPr="00802A27">
        <w:rPr>
          <w:rFonts w:ascii="Times New Roman" w:hAnsi="Times New Roman" w:cs="Times New Roman"/>
          <w:sz w:val="24"/>
          <w:szCs w:val="24"/>
        </w:rPr>
        <w:lastRenderedPageBreak/>
        <w:t>sources of PM</w:t>
      </w:r>
      <w:r w:rsidRPr="00802A27">
        <w:rPr>
          <w:rFonts w:ascii="Times New Roman" w:hAnsi="Times New Roman" w:cs="Times New Roman"/>
          <w:sz w:val="24"/>
          <w:szCs w:val="24"/>
          <w:vertAlign w:val="subscript"/>
        </w:rPr>
        <w:t xml:space="preserve">2.5 </w:t>
      </w:r>
      <w:r w:rsidRPr="00802A27">
        <w:rPr>
          <w:rFonts w:ascii="Times New Roman" w:hAnsi="Times New Roman" w:cs="Times New Roman"/>
          <w:sz w:val="24"/>
          <w:szCs w:val="24"/>
        </w:rPr>
        <w:t>in summer in decreasing order of their contribution were as follows: road dust (32 %), fossil fuel combustion (gasoline exhaust, diesel exhaust) (28 %), and biomass combustion (8 %) (Chowdhury et al., 2007). Dust emissions (25.9-35 %), traffic (20.3-23.0 %), industry-related (10.0-29.0 %) and biomass burning emissions (13.9-15.0 %) were the top sources contributing to Delhi’s particulate pollution at various residential sites and city centre (Banerjee et al., 2015; Garaga et al., 2018). Agra’s area had dust emissions (48%) and traffic (28%) as major sources apportioned to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mass loadings while industry-related emissions (30%), traffic (17%) and dust (27%) sources for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(Kulshrestha et al., 2009; Habil et al., 2013). Kanpur, on the other hand, quantified vehicular emissions (38.8 %), industrial emissions (32.5 %), and dust emissions (17.1 %) as main contributors of PM</w:t>
      </w:r>
      <w:r w:rsidRPr="00802A27">
        <w:rPr>
          <w:rFonts w:ascii="Times New Roman" w:hAnsi="Times New Roman" w:cs="Times New Roman"/>
          <w:sz w:val="24"/>
          <w:szCs w:val="24"/>
          <w:vertAlign w:val="subscript"/>
        </w:rPr>
        <w:t xml:space="preserve">1 </w:t>
      </w:r>
      <w:r w:rsidRPr="00802A27">
        <w:rPr>
          <w:rFonts w:ascii="Times New Roman" w:hAnsi="Times New Roman" w:cs="Times New Roman"/>
          <w:sz w:val="24"/>
          <w:szCs w:val="24"/>
        </w:rPr>
        <w:t xml:space="preserve">(Chakraborty and Gupta, 2010) which contrasted the present study results and findings. </w:t>
      </w:r>
    </w:p>
    <w:p w14:paraId="04D5A6D0" w14:textId="77777777" w:rsidR="00802A27" w:rsidRDefault="00802A27" w:rsidP="00802A27">
      <w:pPr>
        <w:spacing w:after="0" w:line="360" w:lineRule="auto"/>
        <w:jc w:val="both"/>
        <w:rPr>
          <w:rFonts w:ascii="Times New Roman" w:hAnsi="Times New Roman" w:cs="Times New Roman"/>
          <w:sz w:val="24"/>
          <w:szCs w:val="24"/>
        </w:rPr>
      </w:pPr>
      <w:r w:rsidRPr="00802A27">
        <w:rPr>
          <w:rFonts w:ascii="Times New Roman" w:hAnsi="Times New Roman" w:cs="Times New Roman"/>
          <w:sz w:val="24"/>
          <w:szCs w:val="24"/>
        </w:rPr>
        <w:t>The period of May 2012 in Mohali marked by frequent wheat residue burning episodes nearby the receptor site (Awasthi et al., 2011), is evident in the present modelling estimates as this factor explains a significant share of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(20.6%) and PM</w:t>
      </w:r>
      <w:r w:rsidRPr="00802A27">
        <w:rPr>
          <w:rFonts w:ascii="Times New Roman" w:hAnsi="Times New Roman" w:cs="Times New Roman"/>
          <w:sz w:val="24"/>
          <w:szCs w:val="24"/>
          <w:vertAlign w:val="subscript"/>
        </w:rPr>
        <w:t xml:space="preserve">2.5 </w:t>
      </w:r>
      <w:r w:rsidRPr="00802A27">
        <w:rPr>
          <w:rFonts w:ascii="Times New Roman" w:hAnsi="Times New Roman" w:cs="Times New Roman"/>
          <w:sz w:val="24"/>
          <w:szCs w:val="24"/>
        </w:rPr>
        <w:t>(22.6%) emissions. 15.8% of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and 29.6% of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originates in biofuel use and garbage-burning activities. The remaining 14-15% of PM</w:t>
      </w:r>
      <w:r w:rsidRPr="00802A27">
        <w:rPr>
          <w:rFonts w:ascii="Times New Roman" w:hAnsi="Times New Roman" w:cs="Times New Roman"/>
          <w:sz w:val="24"/>
          <w:szCs w:val="24"/>
          <w:vertAlign w:val="subscript"/>
        </w:rPr>
        <w:t>10</w:t>
      </w:r>
      <w:r w:rsidRPr="00802A27">
        <w:rPr>
          <w:rFonts w:ascii="Times New Roman" w:hAnsi="Times New Roman" w:cs="Times New Roman"/>
          <w:sz w:val="24"/>
          <w:szCs w:val="24"/>
        </w:rPr>
        <w:t xml:space="preserve"> and PM</w:t>
      </w:r>
      <w:r w:rsidRPr="00802A27">
        <w:rPr>
          <w:rFonts w:ascii="Times New Roman" w:hAnsi="Times New Roman" w:cs="Times New Roman"/>
          <w:sz w:val="24"/>
          <w:szCs w:val="24"/>
          <w:vertAlign w:val="subscript"/>
        </w:rPr>
        <w:t>2.5</w:t>
      </w:r>
      <w:r w:rsidRPr="00802A27">
        <w:rPr>
          <w:rFonts w:ascii="Times New Roman" w:hAnsi="Times New Roman" w:cs="Times New Roman"/>
          <w:sz w:val="24"/>
          <w:szCs w:val="24"/>
        </w:rPr>
        <w:t xml:space="preserve"> is coming from mixed daytime sources (&lt;10%), traffic – cars and two-wheelers (&lt;5%) and industrial emissions and solvent use (&lt;5%). Biomass burning sources gaining grounds as an essential source of air pollution apart from vehicular and industrial sources (Gurjar et al., 2016; Ravindra et al., 2019) coincides with the model results. Vehicular and industrial emissions source category with ~50% contributions to PM creates major contrast between PM source allocations at Mohali and other sites in Northern India (Balachandran et al., 2000; Khillare et al., 2004; Kulshrestha et al., 2009; Chakraborty and Gupta, 2010). Low traffic source contribution at Mohali is primarily attributed to the location of the monitoring site which is a suburban site.</w:t>
      </w:r>
    </w:p>
    <w:p w14:paraId="76D8DB0B" w14:textId="77777777" w:rsidR="009500DE" w:rsidRDefault="009500DE" w:rsidP="009500DE">
      <w:pPr>
        <w:spacing w:line="360" w:lineRule="auto"/>
        <w:jc w:val="both"/>
        <w:rPr>
          <w:rFonts w:ascii="Times New Roman" w:hAnsi="Times New Roman" w:cs="Times New Roman"/>
          <w:sz w:val="24"/>
          <w:szCs w:val="24"/>
        </w:rPr>
      </w:pPr>
      <w:r w:rsidRPr="00E66FEA">
        <w:rPr>
          <w:rFonts w:ascii="Times New Roman" w:hAnsi="Times New Roman" w:cs="Times New Roman"/>
          <w:sz w:val="24"/>
          <w:szCs w:val="24"/>
        </w:rPr>
        <w:t>Figure 4.8, 4.9 shows the relative contribution strengths of different PM sources at the study site during the study period and their diel variations across the day respectively.</w:t>
      </w:r>
    </w:p>
    <w:p w14:paraId="34DCF9E9" w14:textId="77777777" w:rsidR="009500DE" w:rsidRPr="00E66FEA" w:rsidRDefault="009500DE" w:rsidP="009500DE">
      <w:pPr>
        <w:spacing w:line="360" w:lineRule="auto"/>
        <w:jc w:val="both"/>
        <w:rPr>
          <w:rFonts w:ascii="Times New Roman" w:hAnsi="Times New Roman" w:cs="Times New Roman"/>
          <w:sz w:val="24"/>
          <w:szCs w:val="24"/>
        </w:rPr>
      </w:pPr>
    </w:p>
    <w:p w14:paraId="0BD49EB2" w14:textId="77777777" w:rsidR="009500DE" w:rsidRPr="00802A27" w:rsidRDefault="009500DE" w:rsidP="00802A27">
      <w:pPr>
        <w:spacing w:after="0" w:line="360" w:lineRule="auto"/>
        <w:jc w:val="both"/>
        <w:rPr>
          <w:rFonts w:ascii="Times New Roman" w:hAnsi="Times New Roman" w:cs="Times New Roman"/>
          <w:sz w:val="24"/>
          <w:szCs w:val="24"/>
        </w:rPr>
      </w:pPr>
    </w:p>
    <w:p w14:paraId="488ABE19" w14:textId="136D22B4" w:rsidR="00F331F1" w:rsidRPr="00E66FEA" w:rsidRDefault="00F331F1" w:rsidP="00E66FEA">
      <w:pPr>
        <w:spacing w:after="0" w:line="360" w:lineRule="auto"/>
        <w:jc w:val="both"/>
        <w:rPr>
          <w:rFonts w:ascii="Times New Roman" w:hAnsi="Times New Roman" w:cs="Times New Roman"/>
          <w:sz w:val="24"/>
          <w:szCs w:val="24"/>
        </w:rPr>
      </w:pPr>
    </w:p>
    <w:p w14:paraId="0DABA225" w14:textId="77777777" w:rsidR="00F331F1" w:rsidRPr="00E66FEA" w:rsidRDefault="00F331F1" w:rsidP="00E66FEA">
      <w:pPr>
        <w:spacing w:line="360" w:lineRule="auto"/>
        <w:jc w:val="center"/>
        <w:rPr>
          <w:rFonts w:ascii="Times New Roman" w:hAnsi="Times New Roman" w:cs="Times New Roman"/>
          <w:sz w:val="24"/>
          <w:szCs w:val="24"/>
        </w:rPr>
      </w:pPr>
      <w:r w:rsidRPr="00E66FEA">
        <w:rPr>
          <w:rFonts w:ascii="Times New Roman" w:hAnsi="Times New Roman" w:cs="Times New Roman"/>
          <w:noProof/>
          <w:sz w:val="24"/>
          <w:szCs w:val="24"/>
          <w:lang w:eastAsia="en-IN"/>
        </w:rPr>
        <w:lastRenderedPageBreak/>
        <w:drawing>
          <wp:inline distT="0" distB="0" distL="0" distR="0" wp14:anchorId="758D7A49" wp14:editId="4F993AA1">
            <wp:extent cx="4013200" cy="2938422"/>
            <wp:effectExtent l="0" t="0" r="6350" b="0"/>
            <wp:docPr id="2008130533" name="Picture 2008130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48052" cy="2963940"/>
                    </a:xfrm>
                    <a:prstGeom prst="rect">
                      <a:avLst/>
                    </a:prstGeom>
                    <a:noFill/>
                    <a:ln>
                      <a:noFill/>
                    </a:ln>
                  </pic:spPr>
                </pic:pic>
              </a:graphicData>
            </a:graphic>
          </wp:inline>
        </w:drawing>
      </w:r>
    </w:p>
    <w:p w14:paraId="0C782FD9" w14:textId="4F036162" w:rsidR="00F331F1" w:rsidRPr="00E66FEA" w:rsidRDefault="009E4538" w:rsidP="00E66FEA">
      <w:pPr>
        <w:pStyle w:val="Caption"/>
        <w:spacing w:line="360" w:lineRule="auto"/>
        <w:jc w:val="both"/>
        <w:rPr>
          <w:rFonts w:ascii="Times New Roman" w:hAnsi="Times New Roman" w:cs="Times New Roman"/>
          <w:color w:val="auto"/>
          <w:sz w:val="24"/>
          <w:szCs w:val="24"/>
        </w:rPr>
      </w:pPr>
      <w:bookmarkStart w:id="82" w:name="_Toc133577949"/>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8</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noProof/>
          <w:color w:val="auto"/>
          <w:sz w:val="24"/>
          <w:szCs w:val="24"/>
        </w:rPr>
        <w:t xml:space="preserve"> Factor wise contribution to the to the measured PM mass loadings at the receptor site over May 2012.</w:t>
      </w:r>
      <w:bookmarkEnd w:id="82"/>
    </w:p>
    <w:p w14:paraId="49052EEE" w14:textId="77777777" w:rsidR="00F331F1" w:rsidRPr="00E66FEA" w:rsidRDefault="00F331F1" w:rsidP="00E66FEA">
      <w:pPr>
        <w:spacing w:line="360" w:lineRule="auto"/>
        <w:jc w:val="center"/>
        <w:rPr>
          <w:rFonts w:ascii="Times New Roman" w:hAnsi="Times New Roman" w:cs="Times New Roman"/>
          <w:sz w:val="24"/>
          <w:szCs w:val="24"/>
        </w:rPr>
      </w:pPr>
      <w:r w:rsidRPr="00E66FEA">
        <w:rPr>
          <w:rFonts w:ascii="Times New Roman" w:hAnsi="Times New Roman" w:cs="Times New Roman"/>
          <w:noProof/>
          <w:sz w:val="24"/>
          <w:szCs w:val="24"/>
          <w:lang w:eastAsia="en-IN"/>
        </w:rPr>
        <w:drawing>
          <wp:inline distT="0" distB="0" distL="0" distR="0" wp14:anchorId="446B12EC" wp14:editId="5AC1B8CE">
            <wp:extent cx="4203913" cy="2635250"/>
            <wp:effectExtent l="0" t="0" r="6350" b="0"/>
            <wp:docPr id="1556654700" name="Picture 1556654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265931" cy="2674126"/>
                    </a:xfrm>
                    <a:prstGeom prst="rect">
                      <a:avLst/>
                    </a:prstGeom>
                    <a:noFill/>
                    <a:ln>
                      <a:noFill/>
                    </a:ln>
                  </pic:spPr>
                </pic:pic>
              </a:graphicData>
            </a:graphic>
          </wp:inline>
        </w:drawing>
      </w:r>
    </w:p>
    <w:p w14:paraId="66E62E4F" w14:textId="61D8EC40" w:rsidR="00F331F1" w:rsidRDefault="009E4538" w:rsidP="00E66FEA">
      <w:pPr>
        <w:pStyle w:val="Caption"/>
        <w:spacing w:line="360" w:lineRule="auto"/>
        <w:jc w:val="both"/>
        <w:rPr>
          <w:rFonts w:ascii="Times New Roman" w:hAnsi="Times New Roman" w:cs="Times New Roman"/>
          <w:noProof/>
          <w:color w:val="auto"/>
          <w:sz w:val="24"/>
          <w:szCs w:val="24"/>
        </w:rPr>
      </w:pPr>
      <w:bookmarkStart w:id="83" w:name="_Toc133577950"/>
      <w:r w:rsidRPr="00E66FEA">
        <w:rPr>
          <w:rFonts w:ascii="Times New Roman" w:hAnsi="Times New Roman" w:cs="Times New Roman"/>
          <w:color w:val="auto"/>
          <w:sz w:val="24"/>
          <w:szCs w:val="24"/>
        </w:rPr>
        <w:t xml:space="preserve">Figure 4. </w:t>
      </w:r>
      <w:r w:rsidRPr="00E66FEA">
        <w:rPr>
          <w:rFonts w:ascii="Times New Roman" w:hAnsi="Times New Roman" w:cs="Times New Roman"/>
          <w:color w:val="auto"/>
          <w:sz w:val="24"/>
          <w:szCs w:val="24"/>
        </w:rPr>
        <w:fldChar w:fldCharType="begin"/>
      </w:r>
      <w:r w:rsidRPr="00E66FEA">
        <w:rPr>
          <w:rFonts w:ascii="Times New Roman" w:hAnsi="Times New Roman" w:cs="Times New Roman"/>
          <w:color w:val="auto"/>
          <w:sz w:val="24"/>
          <w:szCs w:val="24"/>
        </w:rPr>
        <w:instrText xml:space="preserve"> SEQ Figure_4. \* ARABIC </w:instrText>
      </w:r>
      <w:r w:rsidRPr="00E66FEA">
        <w:rPr>
          <w:rFonts w:ascii="Times New Roman" w:hAnsi="Times New Roman" w:cs="Times New Roman"/>
          <w:color w:val="auto"/>
          <w:sz w:val="24"/>
          <w:szCs w:val="24"/>
        </w:rPr>
        <w:fldChar w:fldCharType="separate"/>
      </w:r>
      <w:r w:rsidR="0036384D">
        <w:rPr>
          <w:rFonts w:ascii="Times New Roman" w:hAnsi="Times New Roman" w:cs="Times New Roman"/>
          <w:noProof/>
          <w:color w:val="auto"/>
          <w:sz w:val="24"/>
          <w:szCs w:val="24"/>
        </w:rPr>
        <w:t>9</w:t>
      </w:r>
      <w:r w:rsidRPr="00E66FEA">
        <w:rPr>
          <w:rFonts w:ascii="Times New Roman" w:hAnsi="Times New Roman" w:cs="Times New Roman"/>
          <w:color w:val="auto"/>
          <w:sz w:val="24"/>
          <w:szCs w:val="24"/>
        </w:rPr>
        <w:fldChar w:fldCharType="end"/>
      </w:r>
      <w:r w:rsidR="00F331F1" w:rsidRPr="00E66FEA">
        <w:rPr>
          <w:rFonts w:ascii="Times New Roman" w:hAnsi="Times New Roman" w:cs="Times New Roman"/>
          <w:bCs/>
          <w:noProof/>
          <w:color w:val="auto"/>
          <w:sz w:val="24"/>
          <w:szCs w:val="24"/>
        </w:rPr>
        <w:t xml:space="preserve"> </w:t>
      </w:r>
      <w:r w:rsidR="00F331F1" w:rsidRPr="00E66FEA">
        <w:rPr>
          <w:rFonts w:ascii="Times New Roman" w:hAnsi="Times New Roman" w:cs="Times New Roman"/>
          <w:noProof/>
          <w:color w:val="auto"/>
          <w:sz w:val="24"/>
          <w:szCs w:val="24"/>
        </w:rPr>
        <w:t>Average factor contributions to PM</w:t>
      </w:r>
      <w:r w:rsidR="00F331F1" w:rsidRPr="00E66FEA">
        <w:rPr>
          <w:rFonts w:ascii="Times New Roman" w:hAnsi="Times New Roman" w:cs="Times New Roman"/>
          <w:noProof/>
          <w:color w:val="auto"/>
          <w:sz w:val="24"/>
          <w:szCs w:val="24"/>
          <w:vertAlign w:val="subscript"/>
        </w:rPr>
        <w:t>10</w:t>
      </w:r>
      <w:r w:rsidR="00F331F1" w:rsidRPr="00E66FEA">
        <w:rPr>
          <w:rFonts w:ascii="Times New Roman" w:hAnsi="Times New Roman" w:cs="Times New Roman"/>
          <w:noProof/>
          <w:color w:val="auto"/>
          <w:sz w:val="24"/>
          <w:szCs w:val="24"/>
        </w:rPr>
        <w:t xml:space="preserve"> and PM</w:t>
      </w:r>
      <w:r w:rsidR="00F331F1" w:rsidRPr="00E66FEA">
        <w:rPr>
          <w:rFonts w:ascii="Times New Roman" w:hAnsi="Times New Roman" w:cs="Times New Roman"/>
          <w:noProof/>
          <w:color w:val="auto"/>
          <w:sz w:val="24"/>
          <w:szCs w:val="24"/>
          <w:vertAlign w:val="subscript"/>
        </w:rPr>
        <w:t>2.5</w:t>
      </w:r>
      <w:r w:rsidR="00F331F1" w:rsidRPr="00E66FEA">
        <w:rPr>
          <w:rFonts w:ascii="Times New Roman" w:hAnsi="Times New Roman" w:cs="Times New Roman"/>
          <w:noProof/>
          <w:color w:val="auto"/>
          <w:sz w:val="24"/>
          <w:szCs w:val="24"/>
        </w:rPr>
        <w:t xml:space="preserve"> at hourly intervals of the day (00:00-23:00 LT).</w:t>
      </w:r>
      <w:bookmarkEnd w:id="83"/>
    </w:p>
    <w:p w14:paraId="70D2C9D0" w14:textId="282CB507" w:rsidR="00C26622" w:rsidRDefault="009500DE" w:rsidP="009500DE">
      <w:pPr>
        <w:spacing w:line="360" w:lineRule="auto"/>
        <w:jc w:val="both"/>
        <w:rPr>
          <w:rFonts w:ascii="Times New Roman" w:hAnsi="Times New Roman" w:cs="Times New Roman"/>
          <w:bCs/>
          <w:sz w:val="24"/>
          <w:szCs w:val="24"/>
          <w:lang w:val="en-US"/>
        </w:rPr>
      </w:pPr>
      <w:r w:rsidRPr="009500DE">
        <w:rPr>
          <w:rFonts w:ascii="Times New Roman" w:hAnsi="Times New Roman" w:cs="Times New Roman"/>
          <w:bCs/>
          <w:sz w:val="24"/>
          <w:szCs w:val="24"/>
          <w:lang w:val="en-US"/>
        </w:rPr>
        <w:t xml:space="preserve">Source information derived from receptor modelling studies helps in establishing a link between sources and their origin. Conditional probability function (CPF) analysis integrates the PMF model factor contributions with wind direction to determine the source directionality without any backward trajectory. Dust factor CPF plot indicates strong directional dependency from northwest followed by east direction (Figure 4.10 (a)). However, the application of CPF in identification of the far distant regional sources </w:t>
      </w:r>
      <w:r w:rsidRPr="009500DE">
        <w:rPr>
          <w:rFonts w:ascii="Times New Roman" w:hAnsi="Times New Roman" w:cs="Times New Roman"/>
          <w:bCs/>
          <w:sz w:val="24"/>
          <w:szCs w:val="24"/>
          <w:lang w:val="en-US"/>
        </w:rPr>
        <w:lastRenderedPageBreak/>
        <w:t xml:space="preserve">is limited. Figure 4.10 (b) gives </w:t>
      </w:r>
      <w:r w:rsidRPr="009500DE">
        <w:rPr>
          <w:rFonts w:ascii="Times New Roman" w:hAnsi="Times New Roman" w:cs="Times New Roman"/>
          <w:bCs/>
          <w:sz w:val="24"/>
          <w:szCs w:val="24"/>
        </w:rPr>
        <w:t>72 h backward trajectory plots of air mass parcels approaching the receptor site.</w:t>
      </w:r>
      <w:r w:rsidRPr="009500DE">
        <w:rPr>
          <w:rFonts w:ascii="Times New Roman" w:hAnsi="Times New Roman" w:cs="Times New Roman"/>
          <w:bCs/>
          <w:sz w:val="24"/>
          <w:szCs w:val="24"/>
          <w:lang w:val="en-US"/>
        </w:rPr>
        <w:t xml:space="preserve"> Air mass back trajectory calculation indicates that the air masses are arriving mainly from </w:t>
      </w:r>
      <w:r w:rsidRPr="009500DE">
        <w:rPr>
          <w:rFonts w:ascii="Times New Roman" w:hAnsi="Times New Roman" w:cs="Times New Roman"/>
          <w:sz w:val="24"/>
          <w:szCs w:val="24"/>
        </w:rPr>
        <w:t>270</w:t>
      </w:r>
      <w:r w:rsidRPr="009500DE">
        <w:rPr>
          <w:rFonts w:ascii="Times New Roman" w:hAnsi="Times New Roman" w:cs="Times New Roman"/>
          <w:sz w:val="24"/>
          <w:szCs w:val="24"/>
          <w:vertAlign w:val="superscript"/>
        </w:rPr>
        <w:t>0</w:t>
      </w:r>
      <w:r w:rsidRPr="009500DE">
        <w:rPr>
          <w:rFonts w:ascii="Times New Roman" w:hAnsi="Times New Roman" w:cs="Times New Roman"/>
          <w:sz w:val="24"/>
          <w:szCs w:val="24"/>
        </w:rPr>
        <w:t>-360</w:t>
      </w:r>
      <w:r w:rsidRPr="009500DE">
        <w:rPr>
          <w:rFonts w:ascii="Times New Roman" w:hAnsi="Times New Roman" w:cs="Times New Roman"/>
          <w:sz w:val="24"/>
          <w:szCs w:val="24"/>
          <w:vertAlign w:val="superscript"/>
        </w:rPr>
        <w:t xml:space="preserve">0 </w:t>
      </w:r>
      <w:r w:rsidRPr="009500DE">
        <w:rPr>
          <w:rFonts w:ascii="Times New Roman" w:hAnsi="Times New Roman" w:cs="Times New Roman"/>
          <w:sz w:val="24"/>
          <w:szCs w:val="24"/>
        </w:rPr>
        <w:t>sector and particularly from the</w:t>
      </w:r>
      <w:r w:rsidRPr="009500DE">
        <w:rPr>
          <w:rFonts w:ascii="Times New Roman" w:hAnsi="Times New Roman" w:cs="Times New Roman"/>
          <w:sz w:val="24"/>
          <w:szCs w:val="24"/>
          <w:vertAlign w:val="superscript"/>
        </w:rPr>
        <w:t xml:space="preserve"> </w:t>
      </w:r>
      <w:r w:rsidRPr="009500DE">
        <w:rPr>
          <w:rFonts w:ascii="Times New Roman" w:hAnsi="Times New Roman" w:cs="Times New Roman"/>
          <w:bCs/>
          <w:sz w:val="24"/>
          <w:szCs w:val="24"/>
          <w:lang w:val="en-US"/>
        </w:rPr>
        <w:t>northwest direction. The air mass trajectories arriving at the receptor site passed over parts of India, Pakistan, Afghanistan, Iran and Uzbekistan. So, air masses from the source areas in northwest India, Pakistan and Afghanistan majorly have potentially contributed to the pollutant concentrations at the receptor site.</w:t>
      </w:r>
    </w:p>
    <w:p w14:paraId="528A4ED1" w14:textId="3147078B" w:rsidR="009038F6" w:rsidRDefault="009038F6" w:rsidP="009038F6">
      <w:r>
        <w:rPr>
          <w:noProof/>
          <w:lang w:eastAsia="en-IN"/>
        </w:rPr>
        <w:drawing>
          <wp:inline distT="0" distB="0" distL="0" distR="0" wp14:anchorId="03AA7FB8" wp14:editId="6A4D7A75">
            <wp:extent cx="5371465" cy="1473200"/>
            <wp:effectExtent l="0" t="0" r="635" b="0"/>
            <wp:docPr id="9434347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71465" cy="1473200"/>
                    </a:xfrm>
                    <a:prstGeom prst="rect">
                      <a:avLst/>
                    </a:prstGeom>
                    <a:noFill/>
                    <a:ln>
                      <a:noFill/>
                    </a:ln>
                  </pic:spPr>
                </pic:pic>
              </a:graphicData>
            </a:graphic>
          </wp:inline>
        </w:drawing>
      </w:r>
    </w:p>
    <w:p w14:paraId="2B0FC2A7" w14:textId="3C57C48F" w:rsidR="009500DE" w:rsidRPr="005C6576" w:rsidRDefault="006B4346" w:rsidP="005C6576">
      <w:pPr>
        <w:pStyle w:val="Caption"/>
        <w:spacing w:line="360" w:lineRule="auto"/>
        <w:jc w:val="both"/>
        <w:rPr>
          <w:rFonts w:ascii="Times New Roman" w:hAnsi="Times New Roman" w:cs="Times New Roman"/>
          <w:bCs/>
          <w:color w:val="auto"/>
          <w:sz w:val="24"/>
          <w:szCs w:val="24"/>
          <w:lang w:val="en-US"/>
        </w:rPr>
      </w:pPr>
      <w:r w:rsidRPr="006B4346">
        <w:rPr>
          <w:rFonts w:ascii="Times New Roman" w:hAnsi="Times New Roman" w:cs="Times New Roman"/>
          <w:color w:val="auto"/>
          <w:sz w:val="24"/>
          <w:szCs w:val="24"/>
        </w:rPr>
        <w:t>Figure 4. 10</w:t>
      </w:r>
      <w:r w:rsidRPr="006B4346">
        <w:rPr>
          <w:rFonts w:ascii="Times New Roman" w:hAnsi="Times New Roman" w:cs="Times New Roman"/>
          <w:bCs/>
          <w:noProof/>
          <w:color w:val="auto"/>
          <w:sz w:val="24"/>
          <w:szCs w:val="24"/>
        </w:rPr>
        <w:t xml:space="preserve"> </w:t>
      </w:r>
      <w:r w:rsidR="009038F6" w:rsidRPr="009038F6">
        <w:rPr>
          <w:rFonts w:ascii="Times New Roman" w:hAnsi="Times New Roman" w:cs="Times New Roman"/>
          <w:bCs/>
          <w:color w:val="auto"/>
          <w:sz w:val="24"/>
          <w:szCs w:val="24"/>
          <w:lang w:val="en-US"/>
        </w:rPr>
        <w:t xml:space="preserve">(a) Conditional probability function plot for PMF modelled dust factor (b) </w:t>
      </w:r>
      <w:r w:rsidR="009038F6" w:rsidRPr="009038F6">
        <w:rPr>
          <w:rFonts w:ascii="Times New Roman" w:hAnsi="Times New Roman" w:cs="Times New Roman"/>
          <w:bCs/>
          <w:color w:val="auto"/>
          <w:sz w:val="24"/>
          <w:szCs w:val="24"/>
        </w:rPr>
        <w:t>72 h backward trajectory plots of air masses arriving at the receptor site in May 2012 at 09:00 and 21:00 LT using hybrid single particle lagrangian integrated trajectory (HYSPLIT) model</w:t>
      </w:r>
    </w:p>
    <w:p w14:paraId="601C7E5E" w14:textId="77777777" w:rsidR="009500DE" w:rsidRPr="009500DE" w:rsidRDefault="009500DE" w:rsidP="009500DE">
      <w:pPr>
        <w:spacing w:line="360" w:lineRule="auto"/>
        <w:jc w:val="both"/>
        <w:rPr>
          <w:rFonts w:ascii="Times New Roman" w:hAnsi="Times New Roman" w:cs="Times New Roman"/>
          <w:bCs/>
          <w:sz w:val="24"/>
          <w:szCs w:val="24"/>
          <w:lang w:val="en-US"/>
        </w:rPr>
      </w:pPr>
      <w:r w:rsidRPr="009500DE">
        <w:rPr>
          <w:rFonts w:ascii="Times New Roman" w:hAnsi="Times New Roman" w:cs="Times New Roman"/>
          <w:b/>
          <w:bCs/>
          <w:sz w:val="24"/>
          <w:szCs w:val="24"/>
        </w:rPr>
        <w:t>PM</w:t>
      </w:r>
      <w:r w:rsidRPr="009500DE">
        <w:rPr>
          <w:rFonts w:ascii="Times New Roman" w:hAnsi="Times New Roman" w:cs="Times New Roman"/>
          <w:b/>
          <w:bCs/>
          <w:sz w:val="24"/>
          <w:szCs w:val="24"/>
          <w:vertAlign w:val="subscript"/>
        </w:rPr>
        <w:t xml:space="preserve"> </w:t>
      </w:r>
      <w:r w:rsidRPr="009500DE">
        <w:rPr>
          <w:rFonts w:ascii="Times New Roman" w:hAnsi="Times New Roman" w:cs="Times New Roman"/>
          <w:b/>
          <w:bCs/>
          <w:sz w:val="24"/>
          <w:szCs w:val="24"/>
        </w:rPr>
        <w:t xml:space="preserve">and meteorology: </w:t>
      </w:r>
      <w:r w:rsidRPr="009500DE">
        <w:rPr>
          <w:rFonts w:ascii="Times New Roman" w:hAnsi="Times New Roman" w:cs="Times New Roman"/>
          <w:bCs/>
          <w:sz w:val="24"/>
          <w:szCs w:val="24"/>
          <w:lang w:val="en-US"/>
        </w:rPr>
        <w:t>Emission sources and meteorology play a significant role in observed aerosol concentrations over a given area. The association between PM</w:t>
      </w:r>
      <w:r w:rsidRPr="009500DE">
        <w:rPr>
          <w:rFonts w:ascii="Times New Roman" w:hAnsi="Times New Roman" w:cs="Times New Roman"/>
          <w:bCs/>
          <w:sz w:val="24"/>
          <w:szCs w:val="24"/>
          <w:vertAlign w:val="subscript"/>
          <w:lang w:val="en-US"/>
        </w:rPr>
        <w:t>2.5</w:t>
      </w:r>
      <w:r w:rsidRPr="009500DE">
        <w:rPr>
          <w:rFonts w:ascii="Times New Roman" w:hAnsi="Times New Roman" w:cs="Times New Roman"/>
          <w:bCs/>
          <w:sz w:val="24"/>
          <w:szCs w:val="24"/>
          <w:lang w:val="en-US"/>
        </w:rPr>
        <w:t>, PM</w:t>
      </w:r>
      <w:r w:rsidRPr="009500DE">
        <w:rPr>
          <w:rFonts w:ascii="Times New Roman" w:hAnsi="Times New Roman" w:cs="Times New Roman"/>
          <w:bCs/>
          <w:sz w:val="24"/>
          <w:szCs w:val="24"/>
          <w:vertAlign w:val="subscript"/>
          <w:lang w:val="en-US"/>
        </w:rPr>
        <w:t xml:space="preserve">10 </w:t>
      </w:r>
      <w:r w:rsidRPr="009500DE">
        <w:rPr>
          <w:rFonts w:ascii="Times New Roman" w:hAnsi="Times New Roman" w:cs="Times New Roman"/>
          <w:bCs/>
          <w:sz w:val="24"/>
          <w:szCs w:val="24"/>
          <w:lang w:val="en-US"/>
        </w:rPr>
        <w:t>mass concentrations and meteorological variables’ (ambient temperature (AT), relative humidity (RH), solar radiation (SR), and wind speed (WS)) time series is quantified by the correlation matrices (giving R-values) for daytime (</w:t>
      </w:r>
      <w:r w:rsidRPr="009500DE">
        <w:rPr>
          <w:rFonts w:ascii="Times New Roman" w:hAnsi="Times New Roman" w:cs="Times New Roman"/>
          <w:bCs/>
          <w:sz w:val="24"/>
          <w:szCs w:val="24"/>
        </w:rPr>
        <w:t>06:00-18:00 LT)</w:t>
      </w:r>
      <w:r w:rsidRPr="009500DE">
        <w:rPr>
          <w:rFonts w:ascii="Times New Roman" w:hAnsi="Times New Roman" w:cs="Times New Roman"/>
          <w:bCs/>
          <w:sz w:val="24"/>
          <w:szCs w:val="24"/>
          <w:lang w:val="en-US"/>
        </w:rPr>
        <w:t xml:space="preserve"> and nighttime (</w:t>
      </w:r>
      <w:r w:rsidRPr="009500DE">
        <w:rPr>
          <w:rFonts w:ascii="Times New Roman" w:hAnsi="Times New Roman" w:cs="Times New Roman"/>
          <w:bCs/>
          <w:sz w:val="24"/>
          <w:szCs w:val="24"/>
        </w:rPr>
        <w:t>19:00-05:00 LT)</w:t>
      </w:r>
      <w:r w:rsidRPr="009500DE">
        <w:rPr>
          <w:rFonts w:ascii="Times New Roman" w:hAnsi="Times New Roman" w:cs="Times New Roman"/>
          <w:bCs/>
          <w:sz w:val="24"/>
          <w:szCs w:val="24"/>
          <w:lang w:val="en-US"/>
        </w:rPr>
        <w:t xml:space="preserve"> hours separately. PM</w:t>
      </w:r>
      <w:r w:rsidRPr="009500DE">
        <w:rPr>
          <w:rFonts w:ascii="Times New Roman" w:hAnsi="Times New Roman" w:cs="Times New Roman"/>
          <w:bCs/>
          <w:sz w:val="24"/>
          <w:szCs w:val="24"/>
          <w:vertAlign w:val="subscript"/>
          <w:lang w:val="en-US"/>
        </w:rPr>
        <w:t>2.5</w:t>
      </w:r>
      <w:r w:rsidRPr="009500DE">
        <w:rPr>
          <w:rFonts w:ascii="Times New Roman" w:hAnsi="Times New Roman" w:cs="Times New Roman"/>
          <w:bCs/>
          <w:sz w:val="24"/>
          <w:szCs w:val="24"/>
          <w:lang w:val="en-US"/>
        </w:rPr>
        <w:t xml:space="preserve"> and PM</w:t>
      </w:r>
      <w:r w:rsidRPr="009500DE">
        <w:rPr>
          <w:rFonts w:ascii="Times New Roman" w:hAnsi="Times New Roman" w:cs="Times New Roman"/>
          <w:bCs/>
          <w:sz w:val="24"/>
          <w:szCs w:val="24"/>
          <w:vertAlign w:val="subscript"/>
          <w:lang w:val="en-US"/>
        </w:rPr>
        <w:t>10</w:t>
      </w:r>
      <w:r w:rsidRPr="009500DE">
        <w:rPr>
          <w:rFonts w:ascii="Times New Roman" w:hAnsi="Times New Roman" w:cs="Times New Roman"/>
          <w:bCs/>
          <w:sz w:val="24"/>
          <w:szCs w:val="24"/>
          <w:lang w:val="en-US"/>
        </w:rPr>
        <w:t xml:space="preserve"> showed moderate correlation (0.31-0.40) with RH during daytime and moderate correlation (0.35-0.45) with WS during nighttime hours. For most of the part during nighttime hours, PM</w:t>
      </w:r>
      <w:r w:rsidRPr="009500DE">
        <w:rPr>
          <w:rFonts w:ascii="Times New Roman" w:hAnsi="Times New Roman" w:cs="Times New Roman"/>
          <w:bCs/>
          <w:sz w:val="24"/>
          <w:szCs w:val="24"/>
          <w:vertAlign w:val="subscript"/>
          <w:lang w:val="en-US"/>
        </w:rPr>
        <w:t xml:space="preserve">2.5 </w:t>
      </w:r>
      <w:r w:rsidRPr="009500DE">
        <w:rPr>
          <w:rFonts w:ascii="Times New Roman" w:hAnsi="Times New Roman" w:cs="Times New Roman"/>
          <w:bCs/>
          <w:sz w:val="24"/>
          <w:szCs w:val="24"/>
          <w:lang w:val="en-US"/>
        </w:rPr>
        <w:t>and PM</w:t>
      </w:r>
      <w:r w:rsidRPr="009500DE">
        <w:rPr>
          <w:rFonts w:ascii="Times New Roman" w:hAnsi="Times New Roman" w:cs="Times New Roman"/>
          <w:bCs/>
          <w:sz w:val="24"/>
          <w:szCs w:val="24"/>
          <w:vertAlign w:val="subscript"/>
          <w:lang w:val="en-US"/>
        </w:rPr>
        <w:t xml:space="preserve">10 </w:t>
      </w:r>
      <w:r w:rsidRPr="009500DE">
        <w:rPr>
          <w:rFonts w:ascii="Times New Roman" w:hAnsi="Times New Roman" w:cs="Times New Roman"/>
          <w:bCs/>
          <w:sz w:val="24"/>
          <w:szCs w:val="24"/>
          <w:lang w:val="en-US"/>
        </w:rPr>
        <w:t>concentrations exhibited weak to moderate positive correlations with AT, RH and WS. In contrast, during both daytime and nighttime, negative correlation was observed between PM and SR, suggestive of low presence of photochemically produced secondary aerosol.</w:t>
      </w:r>
    </w:p>
    <w:p w14:paraId="482F8365" w14:textId="552C1EC6" w:rsidR="009038F6" w:rsidRPr="005C6576" w:rsidRDefault="009500DE" w:rsidP="005C6576">
      <w:pPr>
        <w:spacing w:line="360" w:lineRule="auto"/>
        <w:jc w:val="both"/>
        <w:rPr>
          <w:rFonts w:ascii="Times New Roman" w:hAnsi="Times New Roman" w:cs="Times New Roman"/>
          <w:bCs/>
          <w:sz w:val="24"/>
          <w:szCs w:val="24"/>
        </w:rPr>
      </w:pPr>
      <w:r w:rsidRPr="009500DE">
        <w:rPr>
          <w:rFonts w:ascii="Times New Roman" w:hAnsi="Times New Roman" w:cs="Times New Roman"/>
          <w:bCs/>
          <w:sz w:val="24"/>
          <w:szCs w:val="24"/>
          <w:lang w:val="en-US"/>
        </w:rPr>
        <w:t>Daily averages and diel variations of PM</w:t>
      </w:r>
      <w:r w:rsidRPr="009500DE">
        <w:rPr>
          <w:rFonts w:ascii="Times New Roman" w:hAnsi="Times New Roman" w:cs="Times New Roman"/>
          <w:bCs/>
          <w:sz w:val="24"/>
          <w:szCs w:val="24"/>
          <w:vertAlign w:val="subscript"/>
          <w:lang w:val="en-US"/>
        </w:rPr>
        <w:t>2.5</w:t>
      </w:r>
      <w:r w:rsidRPr="009500DE">
        <w:rPr>
          <w:rFonts w:ascii="Times New Roman" w:hAnsi="Times New Roman" w:cs="Times New Roman"/>
          <w:bCs/>
          <w:sz w:val="24"/>
          <w:szCs w:val="24"/>
          <w:lang w:val="en-US"/>
        </w:rPr>
        <w:t>, PM</w:t>
      </w:r>
      <w:r w:rsidRPr="009500DE">
        <w:rPr>
          <w:rFonts w:ascii="Times New Roman" w:hAnsi="Times New Roman" w:cs="Times New Roman"/>
          <w:bCs/>
          <w:sz w:val="24"/>
          <w:szCs w:val="24"/>
          <w:vertAlign w:val="subscript"/>
          <w:lang w:val="en-US"/>
        </w:rPr>
        <w:t>10</w:t>
      </w:r>
      <w:r w:rsidRPr="009500DE">
        <w:rPr>
          <w:rFonts w:ascii="Times New Roman" w:hAnsi="Times New Roman" w:cs="Times New Roman"/>
          <w:bCs/>
          <w:sz w:val="24"/>
          <w:szCs w:val="24"/>
          <w:lang w:val="en-US"/>
        </w:rPr>
        <w:t xml:space="preserve"> and meteorological parameters in May 2012 is shown in the figures 4.11 and 4.12. Both PM</w:t>
      </w:r>
      <w:r w:rsidRPr="009500DE">
        <w:rPr>
          <w:rFonts w:ascii="Times New Roman" w:hAnsi="Times New Roman" w:cs="Times New Roman"/>
          <w:bCs/>
          <w:sz w:val="24"/>
          <w:szCs w:val="24"/>
          <w:vertAlign w:val="subscript"/>
          <w:lang w:val="en-US"/>
        </w:rPr>
        <w:t>2.5</w:t>
      </w:r>
      <w:r w:rsidRPr="009500DE">
        <w:rPr>
          <w:rFonts w:ascii="Times New Roman" w:hAnsi="Times New Roman" w:cs="Times New Roman"/>
          <w:bCs/>
          <w:sz w:val="24"/>
          <w:szCs w:val="24"/>
          <w:lang w:val="en-US"/>
        </w:rPr>
        <w:t xml:space="preserve"> and PM</w:t>
      </w:r>
      <w:r w:rsidRPr="009500DE">
        <w:rPr>
          <w:rFonts w:ascii="Times New Roman" w:hAnsi="Times New Roman" w:cs="Times New Roman"/>
          <w:bCs/>
          <w:sz w:val="24"/>
          <w:szCs w:val="24"/>
          <w:vertAlign w:val="subscript"/>
          <w:lang w:val="en-US"/>
        </w:rPr>
        <w:t>10</w:t>
      </w:r>
      <w:r w:rsidRPr="009500DE">
        <w:rPr>
          <w:rFonts w:ascii="Times New Roman" w:hAnsi="Times New Roman" w:cs="Times New Roman"/>
          <w:bCs/>
          <w:sz w:val="24"/>
          <w:szCs w:val="24"/>
          <w:lang w:val="en-US"/>
        </w:rPr>
        <w:t xml:space="preserve"> show pronounced morning (07:00-09:00 LT) and evening peaks (19:00-21:00 LT). Higher average wind </w:t>
      </w:r>
      <w:r w:rsidRPr="009500DE">
        <w:rPr>
          <w:rFonts w:ascii="Times New Roman" w:hAnsi="Times New Roman" w:cs="Times New Roman"/>
          <w:bCs/>
          <w:sz w:val="24"/>
          <w:szCs w:val="24"/>
          <w:lang w:val="en-US"/>
        </w:rPr>
        <w:lastRenderedPageBreak/>
        <w:t>speeds (4.99-8.34 m/s) during the daytime, enhanced the dispersal of PM mass resulting in low PM readings. This is also carried up by mixing layer height that largely drives the dispersion of PM loadings in atmosphere. Mixing layer height attains the maximum during afternoon hours that stays for longer time and reaches to up to ~1.5-2 kms height in summer months.</w:t>
      </w:r>
    </w:p>
    <w:p w14:paraId="61D09062" w14:textId="77777777" w:rsidR="009038F6" w:rsidRPr="009038F6" w:rsidRDefault="009038F6" w:rsidP="009038F6">
      <w:pPr>
        <w:rPr>
          <w:bCs/>
          <w:lang w:val="en-US"/>
        </w:rPr>
      </w:pPr>
      <w:r w:rsidRPr="009038F6">
        <w:rPr>
          <w:bCs/>
          <w:noProof/>
          <w:lang w:eastAsia="en-IN"/>
        </w:rPr>
        <w:drawing>
          <wp:inline distT="0" distB="0" distL="0" distR="0" wp14:anchorId="05756FD8" wp14:editId="05506A0B">
            <wp:extent cx="5326252" cy="2921000"/>
            <wp:effectExtent l="0" t="0" r="8255" b="0"/>
            <wp:docPr id="7430835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083594" name=""/>
                    <pic:cNvPicPr/>
                  </pic:nvPicPr>
                  <pic:blipFill>
                    <a:blip r:embed="rId42"/>
                    <a:stretch>
                      <a:fillRect/>
                    </a:stretch>
                  </pic:blipFill>
                  <pic:spPr>
                    <a:xfrm>
                      <a:off x="0" y="0"/>
                      <a:ext cx="5339265" cy="2928137"/>
                    </a:xfrm>
                    <a:prstGeom prst="rect">
                      <a:avLst/>
                    </a:prstGeom>
                  </pic:spPr>
                </pic:pic>
              </a:graphicData>
            </a:graphic>
          </wp:inline>
        </w:drawing>
      </w:r>
    </w:p>
    <w:p w14:paraId="193FDF83" w14:textId="1E7F4EF1" w:rsidR="009038F6" w:rsidRPr="009038F6" w:rsidRDefault="006B4346" w:rsidP="006B4346">
      <w:pPr>
        <w:pStyle w:val="Caption"/>
        <w:spacing w:line="360" w:lineRule="auto"/>
        <w:jc w:val="both"/>
        <w:rPr>
          <w:rFonts w:ascii="Times New Roman" w:hAnsi="Times New Roman" w:cs="Times New Roman"/>
          <w:bCs/>
          <w:color w:val="auto"/>
          <w:sz w:val="24"/>
          <w:szCs w:val="24"/>
          <w:lang w:val="en-US"/>
        </w:rPr>
      </w:pPr>
      <w:r w:rsidRPr="006B4346">
        <w:rPr>
          <w:rFonts w:ascii="Times New Roman" w:hAnsi="Times New Roman" w:cs="Times New Roman"/>
          <w:color w:val="auto"/>
          <w:sz w:val="24"/>
          <w:szCs w:val="24"/>
        </w:rPr>
        <w:t>Figure 4. 11</w:t>
      </w:r>
      <w:r w:rsidRPr="006B4346">
        <w:rPr>
          <w:rFonts w:ascii="Times New Roman" w:hAnsi="Times New Roman" w:cs="Times New Roman"/>
          <w:bCs/>
          <w:noProof/>
          <w:color w:val="auto"/>
          <w:sz w:val="24"/>
          <w:szCs w:val="24"/>
        </w:rPr>
        <w:t xml:space="preserve"> </w:t>
      </w:r>
      <w:r w:rsidR="009038F6" w:rsidRPr="009038F6">
        <w:rPr>
          <w:rFonts w:ascii="Times New Roman" w:hAnsi="Times New Roman" w:cs="Times New Roman"/>
          <w:bCs/>
          <w:color w:val="auto"/>
          <w:sz w:val="24"/>
          <w:szCs w:val="24"/>
          <w:lang w:val="en-US"/>
        </w:rPr>
        <w:t>Daily averaged time series of PM</w:t>
      </w:r>
      <w:r w:rsidR="009038F6" w:rsidRPr="009038F6">
        <w:rPr>
          <w:rFonts w:ascii="Times New Roman" w:hAnsi="Times New Roman" w:cs="Times New Roman"/>
          <w:bCs/>
          <w:color w:val="auto"/>
          <w:sz w:val="24"/>
          <w:szCs w:val="24"/>
          <w:vertAlign w:val="subscript"/>
          <w:lang w:val="en-US"/>
        </w:rPr>
        <w:t>2.5</w:t>
      </w:r>
      <w:r w:rsidR="009038F6" w:rsidRPr="009038F6">
        <w:rPr>
          <w:rFonts w:ascii="Times New Roman" w:hAnsi="Times New Roman" w:cs="Times New Roman"/>
          <w:bCs/>
          <w:color w:val="auto"/>
          <w:sz w:val="24"/>
          <w:szCs w:val="24"/>
          <w:lang w:val="en-US"/>
        </w:rPr>
        <w:t>, PM</w:t>
      </w:r>
      <w:r w:rsidR="009038F6" w:rsidRPr="009038F6">
        <w:rPr>
          <w:rFonts w:ascii="Times New Roman" w:hAnsi="Times New Roman" w:cs="Times New Roman"/>
          <w:bCs/>
          <w:color w:val="auto"/>
          <w:sz w:val="24"/>
          <w:szCs w:val="24"/>
          <w:vertAlign w:val="subscript"/>
          <w:lang w:val="en-US"/>
        </w:rPr>
        <w:t>10</w:t>
      </w:r>
      <w:r w:rsidR="009038F6" w:rsidRPr="009038F6">
        <w:rPr>
          <w:rFonts w:ascii="Times New Roman" w:hAnsi="Times New Roman" w:cs="Times New Roman"/>
          <w:bCs/>
          <w:color w:val="auto"/>
          <w:sz w:val="24"/>
          <w:szCs w:val="24"/>
          <w:lang w:val="en-US"/>
        </w:rPr>
        <w:t>, temperature, humidity, solar radiation and wind speed in summertime of 2012 at the measurement site.</w:t>
      </w:r>
    </w:p>
    <w:p w14:paraId="426E6B3F" w14:textId="77777777" w:rsidR="009038F6" w:rsidRPr="009038F6" w:rsidRDefault="009038F6" w:rsidP="009038F6">
      <w:pPr>
        <w:rPr>
          <w:bCs/>
          <w:lang w:val="en-US"/>
        </w:rPr>
      </w:pPr>
    </w:p>
    <w:p w14:paraId="211534BE" w14:textId="77777777" w:rsidR="009038F6" w:rsidRPr="009038F6" w:rsidRDefault="009038F6" w:rsidP="005C6576">
      <w:pPr>
        <w:jc w:val="center"/>
        <w:rPr>
          <w:bCs/>
          <w:lang w:val="en-US"/>
        </w:rPr>
      </w:pPr>
      <w:r w:rsidRPr="009038F6">
        <w:rPr>
          <w:bCs/>
          <w:noProof/>
          <w:lang w:eastAsia="en-IN"/>
        </w:rPr>
        <w:drawing>
          <wp:inline distT="0" distB="0" distL="0" distR="0" wp14:anchorId="7900E0CA" wp14:editId="3FE4EA40">
            <wp:extent cx="4095750" cy="2876918"/>
            <wp:effectExtent l="0" t="0" r="0" b="0"/>
            <wp:docPr id="3542269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226952" name=""/>
                    <pic:cNvPicPr/>
                  </pic:nvPicPr>
                  <pic:blipFill>
                    <a:blip r:embed="rId43"/>
                    <a:stretch>
                      <a:fillRect/>
                    </a:stretch>
                  </pic:blipFill>
                  <pic:spPr>
                    <a:xfrm>
                      <a:off x="0" y="0"/>
                      <a:ext cx="4117328" cy="2892075"/>
                    </a:xfrm>
                    <a:prstGeom prst="rect">
                      <a:avLst/>
                    </a:prstGeom>
                  </pic:spPr>
                </pic:pic>
              </a:graphicData>
            </a:graphic>
          </wp:inline>
        </w:drawing>
      </w:r>
    </w:p>
    <w:p w14:paraId="6A460D46" w14:textId="5879A812" w:rsidR="009038F6" w:rsidRPr="005C6576" w:rsidRDefault="006B4346" w:rsidP="005C6576">
      <w:pPr>
        <w:pStyle w:val="Caption"/>
        <w:spacing w:line="360" w:lineRule="auto"/>
        <w:jc w:val="both"/>
        <w:rPr>
          <w:rFonts w:ascii="Times New Roman" w:hAnsi="Times New Roman" w:cs="Times New Roman"/>
          <w:bCs/>
          <w:color w:val="auto"/>
          <w:sz w:val="24"/>
          <w:szCs w:val="24"/>
          <w:lang w:val="en-US"/>
        </w:rPr>
      </w:pPr>
      <w:r w:rsidRPr="006B4346">
        <w:rPr>
          <w:rFonts w:ascii="Times New Roman" w:hAnsi="Times New Roman" w:cs="Times New Roman"/>
          <w:color w:val="auto"/>
          <w:sz w:val="24"/>
          <w:szCs w:val="24"/>
        </w:rPr>
        <w:t>Figure 4. 12</w:t>
      </w:r>
      <w:r w:rsidRPr="006B4346">
        <w:rPr>
          <w:rFonts w:ascii="Times New Roman" w:hAnsi="Times New Roman" w:cs="Times New Roman"/>
          <w:bCs/>
          <w:noProof/>
          <w:color w:val="auto"/>
          <w:sz w:val="24"/>
          <w:szCs w:val="24"/>
        </w:rPr>
        <w:t xml:space="preserve"> </w:t>
      </w:r>
      <w:r w:rsidR="009038F6" w:rsidRPr="009038F6">
        <w:rPr>
          <w:rFonts w:ascii="Times New Roman" w:hAnsi="Times New Roman" w:cs="Times New Roman"/>
          <w:bCs/>
          <w:color w:val="auto"/>
          <w:sz w:val="24"/>
          <w:szCs w:val="24"/>
          <w:lang w:val="en-US"/>
        </w:rPr>
        <w:t>Diel variations in PM</w:t>
      </w:r>
      <w:r w:rsidR="009038F6" w:rsidRPr="009038F6">
        <w:rPr>
          <w:rFonts w:ascii="Times New Roman" w:hAnsi="Times New Roman" w:cs="Times New Roman"/>
          <w:bCs/>
          <w:color w:val="auto"/>
          <w:sz w:val="24"/>
          <w:szCs w:val="24"/>
          <w:vertAlign w:val="subscript"/>
          <w:lang w:val="en-US"/>
        </w:rPr>
        <w:t>2.5</w:t>
      </w:r>
      <w:r w:rsidR="009038F6" w:rsidRPr="009038F6">
        <w:rPr>
          <w:rFonts w:ascii="Times New Roman" w:hAnsi="Times New Roman" w:cs="Times New Roman"/>
          <w:bCs/>
          <w:color w:val="auto"/>
          <w:sz w:val="24"/>
          <w:szCs w:val="24"/>
          <w:lang w:val="en-US"/>
        </w:rPr>
        <w:t>, PM</w:t>
      </w:r>
      <w:r w:rsidR="009038F6" w:rsidRPr="009038F6">
        <w:rPr>
          <w:rFonts w:ascii="Times New Roman" w:hAnsi="Times New Roman" w:cs="Times New Roman"/>
          <w:bCs/>
          <w:color w:val="auto"/>
          <w:sz w:val="24"/>
          <w:szCs w:val="24"/>
          <w:vertAlign w:val="subscript"/>
          <w:lang w:val="en-US"/>
        </w:rPr>
        <w:t>10</w:t>
      </w:r>
      <w:r w:rsidR="009038F6" w:rsidRPr="009038F6">
        <w:rPr>
          <w:rFonts w:ascii="Times New Roman" w:hAnsi="Times New Roman" w:cs="Times New Roman"/>
          <w:bCs/>
          <w:color w:val="auto"/>
          <w:sz w:val="24"/>
          <w:szCs w:val="24"/>
          <w:lang w:val="en-US"/>
        </w:rPr>
        <w:t>, temperature, humidity, solar radiation and wind speed in summertime of 2012 at the measurement site.</w:t>
      </w:r>
    </w:p>
    <w:p w14:paraId="278B8257" w14:textId="6902DCCF" w:rsidR="00F331F1" w:rsidRPr="00E66FEA" w:rsidRDefault="00F331F1" w:rsidP="00E66FEA">
      <w:pPr>
        <w:keepNext/>
        <w:keepLines/>
        <w:numPr>
          <w:ilvl w:val="0"/>
          <w:numId w:val="14"/>
        </w:numPr>
        <w:spacing w:before="40" w:after="0" w:line="360" w:lineRule="auto"/>
        <w:outlineLvl w:val="1"/>
        <w:rPr>
          <w:rFonts w:ascii="Times New Roman" w:eastAsiaTheme="majorEastAsia" w:hAnsi="Times New Roman" w:cs="Times New Roman"/>
          <w:b/>
          <w:bCs/>
          <w:noProof/>
          <w:sz w:val="24"/>
          <w:szCs w:val="24"/>
        </w:rPr>
      </w:pPr>
      <w:bookmarkStart w:id="84" w:name="_Toc146809867"/>
      <w:r w:rsidRPr="00E66FEA">
        <w:rPr>
          <w:rFonts w:ascii="Times New Roman" w:eastAsiaTheme="majorEastAsia" w:hAnsi="Times New Roman" w:cs="Times New Roman"/>
          <w:b/>
          <w:bCs/>
          <w:noProof/>
          <w:sz w:val="24"/>
          <w:szCs w:val="24"/>
        </w:rPr>
        <w:lastRenderedPageBreak/>
        <w:t>Summary and Conclusions</w:t>
      </w:r>
      <w:bookmarkEnd w:id="84"/>
      <w:r w:rsidRPr="00E66FEA">
        <w:rPr>
          <w:rFonts w:ascii="Times New Roman" w:eastAsiaTheme="majorEastAsia" w:hAnsi="Times New Roman" w:cs="Times New Roman"/>
          <w:b/>
          <w:bCs/>
          <w:noProof/>
          <w:sz w:val="24"/>
          <w:szCs w:val="24"/>
        </w:rPr>
        <w:t xml:space="preserve"> </w:t>
      </w:r>
    </w:p>
    <w:p w14:paraId="15544D46" w14:textId="422218FD" w:rsidR="002D26AF" w:rsidRPr="00F26949" w:rsidRDefault="00F331F1" w:rsidP="008B7C9C">
      <w:pPr>
        <w:spacing w:line="360" w:lineRule="auto"/>
        <w:jc w:val="both"/>
        <w:rPr>
          <w:rFonts w:ascii="Times New Roman" w:hAnsi="Times New Roman" w:cs="Times New Roman"/>
          <w:sz w:val="24"/>
          <w:szCs w:val="24"/>
        </w:rPr>
      </w:pPr>
      <w:r w:rsidRPr="00E66FEA">
        <w:rPr>
          <w:rFonts w:ascii="Times New Roman" w:hAnsi="Times New Roman" w:cs="Times New Roman"/>
          <w:sz w:val="24"/>
          <w:szCs w:val="24"/>
        </w:rPr>
        <w:t xml:space="preserve">Qualitative </w:t>
      </w:r>
      <w:r w:rsidR="00242357" w:rsidRPr="00242357">
        <w:rPr>
          <w:rFonts w:ascii="Times New Roman" w:hAnsi="Times New Roman" w:cs="Times New Roman"/>
          <w:sz w:val="24"/>
          <w:szCs w:val="24"/>
        </w:rPr>
        <w:t>and quantitative investigation of PM emission sources is a prerequisite to specify control measures on PM emissions. Source apportionment method using receptor models helps in the investigation of pollution sources active at the receptor site. In the present study, seven PM emission sources were extracted via PMF simulations from the dataset comprising of PM</w:t>
      </w:r>
      <w:r w:rsidR="00242357" w:rsidRPr="00242357">
        <w:rPr>
          <w:rFonts w:ascii="Times New Roman" w:hAnsi="Times New Roman" w:cs="Times New Roman"/>
          <w:sz w:val="24"/>
          <w:szCs w:val="24"/>
          <w:vertAlign w:val="subscript"/>
        </w:rPr>
        <w:t>10</w:t>
      </w:r>
      <w:r w:rsidR="00242357" w:rsidRPr="00242357">
        <w:rPr>
          <w:rFonts w:ascii="Times New Roman" w:hAnsi="Times New Roman" w:cs="Times New Roman"/>
          <w:sz w:val="24"/>
          <w:szCs w:val="24"/>
        </w:rPr>
        <w:t>, PM</w:t>
      </w:r>
      <w:r w:rsidR="00242357" w:rsidRPr="00242357">
        <w:rPr>
          <w:rFonts w:ascii="Times New Roman" w:hAnsi="Times New Roman" w:cs="Times New Roman"/>
          <w:sz w:val="24"/>
          <w:szCs w:val="24"/>
          <w:vertAlign w:val="subscript"/>
        </w:rPr>
        <w:t>2.5</w:t>
      </w:r>
      <w:r w:rsidR="00242357" w:rsidRPr="00242357">
        <w:rPr>
          <w:rFonts w:ascii="Times New Roman" w:hAnsi="Times New Roman" w:cs="Times New Roman"/>
          <w:sz w:val="24"/>
          <w:szCs w:val="24"/>
        </w:rPr>
        <w:t>, 31 VOC species measured online at Mohali in the summer of 2012, namely dust (33.6-48.8%), wheat residue burning (20.6-22.6%), biofuel use and waste disposal (15.8-29.6%), mixed daytime (5.0-7.8%), traffic (cars and two-wheelers) (5.8-6.1%) and industrial emissions and solvent use (1.4-3.1%). The study highlights the advantages of using a mix datatype (gas phase and particle phase air pollutant’s concentrations) for better assignment of real pollution sources to the model-based factors. Major aspect of PM concentration levels measured at Mohali in May 2012 shows that dust (33.6-48.8 %) and biomass burning emissions (36.4-52.2 %) are the top two contributors to the total PM loading amounting to 85.2-85.8 % at this site. About 50% of coarse mode PM (PM</w:t>
      </w:r>
      <w:r w:rsidR="00242357" w:rsidRPr="00242357">
        <w:rPr>
          <w:rFonts w:ascii="Times New Roman" w:hAnsi="Times New Roman" w:cs="Times New Roman"/>
          <w:sz w:val="24"/>
          <w:szCs w:val="24"/>
          <w:vertAlign w:val="subscript"/>
        </w:rPr>
        <w:t>10</w:t>
      </w:r>
      <w:r w:rsidR="00242357" w:rsidRPr="00242357">
        <w:rPr>
          <w:rFonts w:ascii="Times New Roman" w:hAnsi="Times New Roman" w:cs="Times New Roman"/>
          <w:sz w:val="24"/>
          <w:szCs w:val="24"/>
        </w:rPr>
        <w:t>) and fine mode PM (PM</w:t>
      </w:r>
      <w:r w:rsidR="00242357" w:rsidRPr="00242357">
        <w:rPr>
          <w:rFonts w:ascii="Times New Roman" w:hAnsi="Times New Roman" w:cs="Times New Roman"/>
          <w:sz w:val="24"/>
          <w:szCs w:val="24"/>
          <w:vertAlign w:val="subscript"/>
        </w:rPr>
        <w:t>2.5</w:t>
      </w:r>
      <w:r w:rsidR="00242357" w:rsidRPr="00242357">
        <w:rPr>
          <w:rFonts w:ascii="Times New Roman" w:hAnsi="Times New Roman" w:cs="Times New Roman"/>
          <w:sz w:val="24"/>
          <w:szCs w:val="24"/>
        </w:rPr>
        <w:t>) measured at Mohali are explained by dust factor and biomass burning factor respectively.  This puts a special emphasis on large anthropogenic contributions to the PM loadings at Mohali in month of May. Hence, these PM sources should be carefully considered while formulating air pollution control strategies for this region in summer season. Diel profile of various source factors collectively reveal that maximum enhancements in PM emissions were observed during morning hours (</w:t>
      </w:r>
      <w:r w:rsidR="00242357" w:rsidRPr="00242357">
        <w:rPr>
          <w:rFonts w:ascii="Times New Roman" w:hAnsi="Times New Roman" w:cs="Times New Roman"/>
          <w:sz w:val="24"/>
          <w:szCs w:val="24"/>
          <w:lang w:val="en-GB"/>
        </w:rPr>
        <w:t xml:space="preserve">04:00-10:00 LT) at the site. Therefore, preventive and mitigation measures are highly recommended for top PM source contributors at Mohali in this time interval. </w:t>
      </w:r>
      <w:r w:rsidR="00242357" w:rsidRPr="00242357">
        <w:rPr>
          <w:rFonts w:ascii="Times New Roman" w:hAnsi="Times New Roman" w:cs="Times New Roman"/>
          <w:sz w:val="24"/>
          <w:szCs w:val="24"/>
        </w:rPr>
        <w:t>Additionally, in view of the distinct seasonal behaviour, because of major seasonal sources (like wheat residue burning events in April-May and paddy residue burning events in October-November) at play coupled with the meteorological conditions at different times of the year in Mohali, it is recommended to perform receptor modelling with smaller datasets and assess different seasons of the year separately to achieve clean model factors and factor segregation nearest to the best possible real pollution sources. To conclude, such source apportionment studies if conducted on a larger scale can prove to be extremely useful and practical for tackling environmental problems, like air pollution with an objective of improving the air quality and thereby minimizing harmful impacts of pollutants on human health.</w:t>
      </w:r>
    </w:p>
    <w:p w14:paraId="0737A037" w14:textId="4F5B3E94" w:rsidR="008013B7" w:rsidRDefault="008013B7" w:rsidP="008013B7">
      <w:pPr>
        <w:pStyle w:val="ListParagraph"/>
        <w:keepNext/>
        <w:keepLines/>
        <w:numPr>
          <w:ilvl w:val="0"/>
          <w:numId w:val="12"/>
        </w:numPr>
        <w:spacing w:before="240" w:after="0"/>
        <w:outlineLvl w:val="0"/>
        <w:rPr>
          <w:rFonts w:ascii="Times New Roman" w:eastAsiaTheme="majorEastAsia" w:hAnsi="Times New Roman" w:cs="Times New Roman"/>
          <w:sz w:val="56"/>
          <w:szCs w:val="56"/>
        </w:rPr>
      </w:pPr>
      <w:bookmarkStart w:id="85" w:name="_Toc146809868"/>
      <w:r>
        <w:rPr>
          <w:rFonts w:ascii="Times New Roman" w:eastAsiaTheme="majorEastAsia" w:hAnsi="Times New Roman" w:cs="Times New Roman"/>
          <w:sz w:val="56"/>
          <w:szCs w:val="56"/>
        </w:rPr>
        <w:lastRenderedPageBreak/>
        <w:t>Conclusions</w:t>
      </w:r>
      <w:bookmarkEnd w:id="85"/>
    </w:p>
    <w:p w14:paraId="159C58A4" w14:textId="77777777" w:rsidR="008013B7" w:rsidRDefault="008013B7" w:rsidP="008013B7">
      <w:pPr>
        <w:keepNext/>
        <w:keepLines/>
        <w:spacing w:before="240" w:after="0"/>
        <w:outlineLvl w:val="0"/>
        <w:rPr>
          <w:rFonts w:ascii="Times New Roman" w:eastAsiaTheme="majorEastAsia" w:hAnsi="Times New Roman" w:cs="Times New Roman"/>
          <w:sz w:val="56"/>
          <w:szCs w:val="56"/>
        </w:rPr>
      </w:pPr>
    </w:p>
    <w:p w14:paraId="0EC0733B" w14:textId="037EC944" w:rsidR="000325C4" w:rsidRDefault="00025C01" w:rsidP="00342A5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w:t>
      </w:r>
      <w:r w:rsidR="00246490">
        <w:rPr>
          <w:rFonts w:ascii="Times New Roman" w:hAnsi="Times New Roman" w:cs="Times New Roman"/>
          <w:sz w:val="24"/>
          <w:szCs w:val="24"/>
        </w:rPr>
        <w:t>highlight</w:t>
      </w:r>
      <w:r>
        <w:rPr>
          <w:rFonts w:ascii="Times New Roman" w:hAnsi="Times New Roman" w:cs="Times New Roman"/>
          <w:sz w:val="24"/>
          <w:szCs w:val="24"/>
        </w:rPr>
        <w:t xml:space="preserve"> of this thesis work is </w:t>
      </w:r>
      <w:r w:rsidR="00072EF6">
        <w:rPr>
          <w:rFonts w:ascii="Times New Roman" w:hAnsi="Times New Roman" w:cs="Times New Roman"/>
          <w:sz w:val="24"/>
          <w:szCs w:val="24"/>
        </w:rPr>
        <w:t xml:space="preserve">quantifying </w:t>
      </w:r>
      <w:r>
        <w:rPr>
          <w:rFonts w:ascii="Times New Roman" w:hAnsi="Times New Roman" w:cs="Times New Roman"/>
          <w:sz w:val="24"/>
          <w:szCs w:val="24"/>
        </w:rPr>
        <w:t xml:space="preserve">the significant contribution of seasonal sources to </w:t>
      </w:r>
      <w:r w:rsidR="00E1508B">
        <w:rPr>
          <w:rFonts w:ascii="Times New Roman" w:hAnsi="Times New Roman" w:cs="Times New Roman"/>
          <w:sz w:val="24"/>
          <w:szCs w:val="24"/>
        </w:rPr>
        <w:t xml:space="preserve">the </w:t>
      </w:r>
      <w:r>
        <w:rPr>
          <w:rFonts w:ascii="Times New Roman" w:hAnsi="Times New Roman" w:cs="Times New Roman"/>
          <w:sz w:val="24"/>
          <w:szCs w:val="24"/>
        </w:rPr>
        <w:t xml:space="preserve">degrading air quality in summertime at a </w:t>
      </w:r>
      <w:r w:rsidR="00342A5A">
        <w:rPr>
          <w:rFonts w:ascii="Times New Roman" w:hAnsi="Times New Roman" w:cs="Times New Roman"/>
          <w:sz w:val="24"/>
          <w:szCs w:val="24"/>
        </w:rPr>
        <w:t xml:space="preserve">regionally representative </w:t>
      </w:r>
      <w:r>
        <w:rPr>
          <w:rFonts w:ascii="Times New Roman" w:hAnsi="Times New Roman" w:cs="Times New Roman"/>
          <w:sz w:val="24"/>
          <w:szCs w:val="24"/>
        </w:rPr>
        <w:t>suburban site in the northwest Indo-Gangetic Plains.</w:t>
      </w:r>
      <w:r w:rsidR="00222787">
        <w:rPr>
          <w:rFonts w:ascii="Times New Roman" w:hAnsi="Times New Roman" w:cs="Times New Roman"/>
          <w:sz w:val="24"/>
          <w:szCs w:val="24"/>
        </w:rPr>
        <w:t xml:space="preserve"> </w:t>
      </w:r>
      <w:r w:rsidR="006F00F7" w:rsidRPr="004B00C3">
        <w:rPr>
          <w:rFonts w:ascii="Times New Roman" w:hAnsi="Times New Roman" w:cs="Times New Roman"/>
          <w:sz w:val="24"/>
          <w:szCs w:val="24"/>
        </w:rPr>
        <w:t xml:space="preserve">This </w:t>
      </w:r>
      <w:r w:rsidR="00222787">
        <w:rPr>
          <w:rFonts w:ascii="Times New Roman" w:hAnsi="Times New Roman" w:cs="Times New Roman"/>
          <w:sz w:val="24"/>
          <w:szCs w:val="24"/>
        </w:rPr>
        <w:t>holds</w:t>
      </w:r>
      <w:r w:rsidR="006F00F7" w:rsidRPr="004B00C3">
        <w:rPr>
          <w:rFonts w:ascii="Times New Roman" w:hAnsi="Times New Roman" w:cs="Times New Roman"/>
          <w:sz w:val="24"/>
          <w:szCs w:val="24"/>
        </w:rPr>
        <w:t xml:space="preserve"> for emissions from </w:t>
      </w:r>
      <w:r w:rsidR="00222787">
        <w:rPr>
          <w:rFonts w:ascii="Times New Roman" w:hAnsi="Times New Roman" w:cs="Times New Roman"/>
          <w:sz w:val="24"/>
          <w:szCs w:val="24"/>
        </w:rPr>
        <w:t>agricultural wheat</w:t>
      </w:r>
      <w:r w:rsidR="006F00F7" w:rsidRPr="004B00C3">
        <w:rPr>
          <w:rFonts w:ascii="Times New Roman" w:hAnsi="Times New Roman" w:cs="Times New Roman"/>
          <w:sz w:val="24"/>
          <w:szCs w:val="24"/>
        </w:rPr>
        <w:t xml:space="preserve"> residue burning </w:t>
      </w:r>
      <w:r w:rsidR="00222787">
        <w:rPr>
          <w:rFonts w:ascii="Times New Roman" w:hAnsi="Times New Roman" w:cs="Times New Roman"/>
          <w:sz w:val="24"/>
          <w:szCs w:val="24"/>
        </w:rPr>
        <w:t xml:space="preserve">activity </w:t>
      </w:r>
      <w:r w:rsidR="006F00F7" w:rsidRPr="004B00C3">
        <w:rPr>
          <w:rFonts w:ascii="Times New Roman" w:hAnsi="Times New Roman" w:cs="Times New Roman"/>
          <w:sz w:val="24"/>
          <w:szCs w:val="24"/>
        </w:rPr>
        <w:t>which occur</w:t>
      </w:r>
      <w:r w:rsidR="00937787">
        <w:rPr>
          <w:rFonts w:ascii="Times New Roman" w:hAnsi="Times New Roman" w:cs="Times New Roman"/>
          <w:sz w:val="24"/>
          <w:szCs w:val="24"/>
        </w:rPr>
        <w:t>s on a large scale</w:t>
      </w:r>
      <w:r w:rsidR="006F00F7" w:rsidRPr="004B00C3">
        <w:rPr>
          <w:rFonts w:ascii="Times New Roman" w:hAnsi="Times New Roman" w:cs="Times New Roman"/>
          <w:sz w:val="24"/>
          <w:szCs w:val="24"/>
        </w:rPr>
        <w:t xml:space="preserve"> in</w:t>
      </w:r>
      <w:r w:rsidR="00222787">
        <w:rPr>
          <w:rFonts w:ascii="Times New Roman" w:hAnsi="Times New Roman" w:cs="Times New Roman"/>
          <w:sz w:val="24"/>
          <w:szCs w:val="24"/>
        </w:rPr>
        <w:t xml:space="preserve"> </w:t>
      </w:r>
      <w:r w:rsidR="00937787">
        <w:rPr>
          <w:rFonts w:ascii="Times New Roman" w:hAnsi="Times New Roman" w:cs="Times New Roman"/>
          <w:sz w:val="24"/>
          <w:szCs w:val="24"/>
        </w:rPr>
        <w:t xml:space="preserve">the </w:t>
      </w:r>
      <w:r w:rsidR="00222787">
        <w:rPr>
          <w:rFonts w:ascii="Times New Roman" w:hAnsi="Times New Roman" w:cs="Times New Roman"/>
          <w:sz w:val="24"/>
          <w:szCs w:val="24"/>
        </w:rPr>
        <w:t>summer months of April and May</w:t>
      </w:r>
      <w:r w:rsidR="006F00F7" w:rsidRPr="004B00C3">
        <w:rPr>
          <w:rFonts w:ascii="Times New Roman" w:hAnsi="Times New Roman" w:cs="Times New Roman"/>
          <w:sz w:val="24"/>
          <w:szCs w:val="24"/>
        </w:rPr>
        <w:t xml:space="preserve">. </w:t>
      </w:r>
      <w:r w:rsidR="00937787">
        <w:rPr>
          <w:rFonts w:ascii="Times New Roman" w:hAnsi="Times New Roman" w:cs="Times New Roman"/>
          <w:sz w:val="24"/>
          <w:szCs w:val="24"/>
        </w:rPr>
        <w:t xml:space="preserve">The current regional and global emission inventories either do not account for these </w:t>
      </w:r>
      <w:r w:rsidR="002939E6">
        <w:rPr>
          <w:rFonts w:ascii="Times New Roman" w:hAnsi="Times New Roman" w:cs="Times New Roman"/>
          <w:sz w:val="24"/>
          <w:szCs w:val="24"/>
        </w:rPr>
        <w:t xml:space="preserve">seasonal </w:t>
      </w:r>
      <w:r w:rsidR="00937787">
        <w:rPr>
          <w:rFonts w:ascii="Times New Roman" w:hAnsi="Times New Roman" w:cs="Times New Roman"/>
          <w:sz w:val="24"/>
          <w:szCs w:val="24"/>
        </w:rPr>
        <w:t xml:space="preserve">sources or present a complete disproportionate </w:t>
      </w:r>
      <w:r w:rsidR="00AC778F">
        <w:rPr>
          <w:rFonts w:ascii="Times New Roman" w:hAnsi="Times New Roman" w:cs="Times New Roman"/>
          <w:sz w:val="24"/>
          <w:szCs w:val="24"/>
        </w:rPr>
        <w:t>picture of the</w:t>
      </w:r>
      <w:r w:rsidR="002939E6">
        <w:rPr>
          <w:rFonts w:ascii="Times New Roman" w:hAnsi="Times New Roman" w:cs="Times New Roman"/>
          <w:sz w:val="24"/>
          <w:szCs w:val="24"/>
        </w:rPr>
        <w:t>ir</w:t>
      </w:r>
      <w:r w:rsidR="00AC778F">
        <w:rPr>
          <w:rFonts w:ascii="Times New Roman" w:hAnsi="Times New Roman" w:cs="Times New Roman"/>
          <w:sz w:val="24"/>
          <w:szCs w:val="24"/>
        </w:rPr>
        <w:t xml:space="preserve"> source contributions in a given area and a time period.</w:t>
      </w:r>
      <w:r w:rsidR="00B54636">
        <w:rPr>
          <w:rFonts w:ascii="Times New Roman" w:hAnsi="Times New Roman" w:cs="Times New Roman"/>
          <w:sz w:val="24"/>
          <w:szCs w:val="24"/>
        </w:rPr>
        <w:t xml:space="preserve"> </w:t>
      </w:r>
      <w:r w:rsidR="000325C4">
        <w:rPr>
          <w:rFonts w:ascii="Times New Roman" w:hAnsi="Times New Roman" w:cs="Times New Roman"/>
          <w:sz w:val="24"/>
          <w:szCs w:val="24"/>
        </w:rPr>
        <w:t xml:space="preserve">This </w:t>
      </w:r>
      <w:r w:rsidR="00072EF6">
        <w:rPr>
          <w:rFonts w:ascii="Times New Roman" w:hAnsi="Times New Roman" w:cs="Times New Roman"/>
          <w:sz w:val="24"/>
          <w:szCs w:val="24"/>
        </w:rPr>
        <w:t xml:space="preserve">ultimately calls for </w:t>
      </w:r>
      <w:r w:rsidR="00B34E47">
        <w:rPr>
          <w:rFonts w:ascii="Times New Roman" w:hAnsi="Times New Roman" w:cs="Times New Roman"/>
          <w:sz w:val="24"/>
          <w:szCs w:val="24"/>
        </w:rPr>
        <w:t>a greater</w:t>
      </w:r>
      <w:r w:rsidR="00072EF6">
        <w:rPr>
          <w:rFonts w:ascii="Times New Roman" w:hAnsi="Times New Roman" w:cs="Times New Roman"/>
          <w:sz w:val="24"/>
          <w:szCs w:val="24"/>
        </w:rPr>
        <w:t xml:space="preserve"> number of air specific source apportionment studies for air quality</w:t>
      </w:r>
      <w:r w:rsidR="00B34E47">
        <w:rPr>
          <w:rFonts w:ascii="Times New Roman" w:hAnsi="Times New Roman" w:cs="Times New Roman"/>
          <w:sz w:val="24"/>
          <w:szCs w:val="24"/>
        </w:rPr>
        <w:t xml:space="preserve"> improvement measures.</w:t>
      </w:r>
    </w:p>
    <w:p w14:paraId="2653FEE1" w14:textId="37BADB3E" w:rsidR="006F00F7" w:rsidRPr="004B00C3" w:rsidRDefault="00166376" w:rsidP="00342A5A">
      <w:pPr>
        <w:spacing w:line="360" w:lineRule="auto"/>
        <w:jc w:val="both"/>
        <w:rPr>
          <w:rFonts w:ascii="Times New Roman" w:hAnsi="Times New Roman" w:cs="Times New Roman"/>
          <w:sz w:val="24"/>
          <w:szCs w:val="24"/>
        </w:rPr>
      </w:pPr>
      <w:r>
        <w:rPr>
          <w:rFonts w:ascii="Times New Roman" w:hAnsi="Times New Roman" w:cs="Times New Roman"/>
          <w:sz w:val="24"/>
          <w:szCs w:val="24"/>
        </w:rPr>
        <w:t>This work establishes the methodology for source receptor modelling</w:t>
      </w:r>
      <w:r w:rsidR="009A39AB">
        <w:rPr>
          <w:rFonts w:ascii="Times New Roman" w:hAnsi="Times New Roman" w:cs="Times New Roman"/>
          <w:sz w:val="24"/>
          <w:szCs w:val="24"/>
        </w:rPr>
        <w:t xml:space="preserve"> of air pollutants at a receptor site</w:t>
      </w:r>
      <w:r>
        <w:rPr>
          <w:rFonts w:ascii="Times New Roman" w:hAnsi="Times New Roman" w:cs="Times New Roman"/>
          <w:sz w:val="24"/>
          <w:szCs w:val="24"/>
        </w:rPr>
        <w:t>, in specific</w:t>
      </w:r>
      <w:r w:rsidR="009A39AB">
        <w:rPr>
          <w:rFonts w:ascii="Times New Roman" w:hAnsi="Times New Roman" w:cs="Times New Roman"/>
          <w:sz w:val="24"/>
          <w:szCs w:val="24"/>
        </w:rPr>
        <w:t xml:space="preserve"> using</w:t>
      </w:r>
      <w:r>
        <w:rPr>
          <w:rFonts w:ascii="Times New Roman" w:hAnsi="Times New Roman" w:cs="Times New Roman"/>
          <w:sz w:val="24"/>
          <w:szCs w:val="24"/>
        </w:rPr>
        <w:t xml:space="preserve"> positive matrix factorisation model for </w:t>
      </w:r>
      <w:r w:rsidR="005070DA">
        <w:rPr>
          <w:rFonts w:ascii="Times New Roman" w:hAnsi="Times New Roman" w:cs="Times New Roman"/>
          <w:sz w:val="24"/>
          <w:szCs w:val="24"/>
        </w:rPr>
        <w:t>performing</w:t>
      </w:r>
      <w:r>
        <w:rPr>
          <w:rFonts w:ascii="Times New Roman" w:hAnsi="Times New Roman" w:cs="Times New Roman"/>
          <w:sz w:val="24"/>
          <w:szCs w:val="24"/>
        </w:rPr>
        <w:t xml:space="preserve"> source apportionment of volatile organic compounds and particulate matter. This study </w:t>
      </w:r>
      <w:r w:rsidR="006F00F7" w:rsidRPr="004B00C3">
        <w:rPr>
          <w:rFonts w:ascii="Times New Roman" w:hAnsi="Times New Roman" w:cs="Times New Roman"/>
          <w:sz w:val="24"/>
          <w:szCs w:val="24"/>
        </w:rPr>
        <w:t>also demonstrate</w:t>
      </w:r>
      <w:r>
        <w:rPr>
          <w:rFonts w:ascii="Times New Roman" w:hAnsi="Times New Roman" w:cs="Times New Roman"/>
          <w:sz w:val="24"/>
          <w:szCs w:val="24"/>
        </w:rPr>
        <w:t>s strong agreement between the model generated factor</w:t>
      </w:r>
      <w:r w:rsidR="00C37720">
        <w:rPr>
          <w:rFonts w:ascii="Times New Roman" w:hAnsi="Times New Roman" w:cs="Times New Roman"/>
          <w:sz w:val="24"/>
          <w:szCs w:val="24"/>
        </w:rPr>
        <w:t xml:space="preserve"> outputs</w:t>
      </w:r>
      <w:r>
        <w:rPr>
          <w:rFonts w:ascii="Times New Roman" w:hAnsi="Times New Roman" w:cs="Times New Roman"/>
          <w:sz w:val="24"/>
          <w:szCs w:val="24"/>
        </w:rPr>
        <w:t xml:space="preserve"> and the </w:t>
      </w:r>
      <w:r w:rsidR="000A4543">
        <w:rPr>
          <w:rFonts w:ascii="Times New Roman" w:hAnsi="Times New Roman" w:cs="Times New Roman"/>
          <w:sz w:val="24"/>
          <w:szCs w:val="24"/>
        </w:rPr>
        <w:t>real-world</w:t>
      </w:r>
      <w:r>
        <w:rPr>
          <w:rFonts w:ascii="Times New Roman" w:hAnsi="Times New Roman" w:cs="Times New Roman"/>
          <w:sz w:val="24"/>
          <w:szCs w:val="24"/>
        </w:rPr>
        <w:t xml:space="preserve"> p</w:t>
      </w:r>
      <w:r w:rsidR="00C37720">
        <w:rPr>
          <w:rFonts w:ascii="Times New Roman" w:hAnsi="Times New Roman" w:cs="Times New Roman"/>
          <w:sz w:val="24"/>
          <w:szCs w:val="24"/>
        </w:rPr>
        <w:t xml:space="preserve">ollution </w:t>
      </w:r>
      <w:r>
        <w:rPr>
          <w:rFonts w:ascii="Times New Roman" w:hAnsi="Times New Roman" w:cs="Times New Roman"/>
          <w:sz w:val="24"/>
          <w:szCs w:val="24"/>
        </w:rPr>
        <w:t>source</w:t>
      </w:r>
      <w:r w:rsidR="00C37720">
        <w:rPr>
          <w:rFonts w:ascii="Times New Roman" w:hAnsi="Times New Roman" w:cs="Times New Roman"/>
          <w:sz w:val="24"/>
          <w:szCs w:val="24"/>
        </w:rPr>
        <w:t>s</w:t>
      </w:r>
      <w:r w:rsidR="006F00F7" w:rsidRPr="004B00C3">
        <w:rPr>
          <w:rFonts w:ascii="Times New Roman" w:hAnsi="Times New Roman" w:cs="Times New Roman"/>
          <w:sz w:val="24"/>
          <w:szCs w:val="24"/>
        </w:rPr>
        <w:t>.</w:t>
      </w:r>
    </w:p>
    <w:p w14:paraId="6AA60B05" w14:textId="39BD451E" w:rsidR="006F00F7" w:rsidRDefault="0014617A" w:rsidP="006F00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Evaluation of emission inventories against the experimental source profiles’ validated receptor model source contributions revealed </w:t>
      </w:r>
      <w:r w:rsidR="006F00F7" w:rsidRPr="004B00C3">
        <w:rPr>
          <w:rFonts w:ascii="Times New Roman" w:hAnsi="Times New Roman" w:cs="Times New Roman"/>
          <w:sz w:val="24"/>
          <w:szCs w:val="24"/>
        </w:rPr>
        <w:t xml:space="preserve">that none of the emission inventories </w:t>
      </w:r>
      <w:r>
        <w:rPr>
          <w:rFonts w:ascii="Times New Roman" w:hAnsi="Times New Roman" w:cs="Times New Roman"/>
          <w:sz w:val="24"/>
          <w:szCs w:val="24"/>
        </w:rPr>
        <w:t xml:space="preserve">(REAS v2.1, </w:t>
      </w:r>
      <w:r w:rsidRPr="004B00C3">
        <w:rPr>
          <w:rFonts w:ascii="Times New Roman" w:hAnsi="Times New Roman" w:cs="Times New Roman"/>
          <w:sz w:val="24"/>
          <w:szCs w:val="24"/>
        </w:rPr>
        <w:t>GAINS</w:t>
      </w:r>
      <w:r w:rsidR="00ED4E34">
        <w:rPr>
          <w:rFonts w:ascii="Times New Roman" w:hAnsi="Times New Roman" w:cs="Times New Roman"/>
          <w:sz w:val="24"/>
          <w:szCs w:val="24"/>
        </w:rPr>
        <w:t xml:space="preserve"> </w:t>
      </w:r>
      <w:r w:rsidRPr="004B00C3">
        <w:rPr>
          <w:rFonts w:ascii="Times New Roman" w:hAnsi="Times New Roman" w:cs="Times New Roman"/>
          <w:sz w:val="24"/>
          <w:szCs w:val="24"/>
        </w:rPr>
        <w:t>v5.0 and EDGAR</w:t>
      </w:r>
      <w:r w:rsidR="00ED4E34">
        <w:rPr>
          <w:rFonts w:ascii="Times New Roman" w:hAnsi="Times New Roman" w:cs="Times New Roman"/>
          <w:sz w:val="24"/>
          <w:szCs w:val="24"/>
        </w:rPr>
        <w:t xml:space="preserve"> </w:t>
      </w:r>
      <w:r w:rsidRPr="004B00C3">
        <w:rPr>
          <w:rFonts w:ascii="Times New Roman" w:hAnsi="Times New Roman" w:cs="Times New Roman"/>
          <w:sz w:val="24"/>
          <w:szCs w:val="24"/>
        </w:rPr>
        <w:t>v4.3.2</w:t>
      </w:r>
      <w:r>
        <w:rPr>
          <w:rFonts w:ascii="Times New Roman" w:hAnsi="Times New Roman" w:cs="Times New Roman"/>
          <w:sz w:val="24"/>
          <w:szCs w:val="24"/>
        </w:rPr>
        <w:t xml:space="preserve">) aligned with </w:t>
      </w:r>
      <w:r w:rsidR="00ED4E34">
        <w:rPr>
          <w:rFonts w:ascii="Times New Roman" w:hAnsi="Times New Roman" w:cs="Times New Roman"/>
          <w:sz w:val="24"/>
          <w:szCs w:val="24"/>
        </w:rPr>
        <w:t xml:space="preserve">the </w:t>
      </w:r>
      <w:r>
        <w:rPr>
          <w:rFonts w:ascii="Times New Roman" w:hAnsi="Times New Roman" w:cs="Times New Roman"/>
          <w:sz w:val="24"/>
          <w:szCs w:val="24"/>
        </w:rPr>
        <w:t>PMF model results</w:t>
      </w:r>
      <w:r w:rsidR="006F00F7" w:rsidRPr="004B00C3">
        <w:rPr>
          <w:rFonts w:ascii="Times New Roman" w:hAnsi="Times New Roman" w:cs="Times New Roman"/>
          <w:sz w:val="24"/>
          <w:szCs w:val="24"/>
        </w:rPr>
        <w:t xml:space="preserve">. </w:t>
      </w:r>
      <w:r w:rsidR="00ED4E34">
        <w:rPr>
          <w:rFonts w:ascii="Times New Roman" w:hAnsi="Times New Roman" w:cs="Times New Roman"/>
          <w:sz w:val="24"/>
          <w:szCs w:val="24"/>
        </w:rPr>
        <w:t xml:space="preserve">Among REAS v2.1, </w:t>
      </w:r>
      <w:r w:rsidR="00ED4E34" w:rsidRPr="004B00C3">
        <w:rPr>
          <w:rFonts w:ascii="Times New Roman" w:hAnsi="Times New Roman" w:cs="Times New Roman"/>
          <w:sz w:val="24"/>
          <w:szCs w:val="24"/>
        </w:rPr>
        <w:t>GAINS</w:t>
      </w:r>
      <w:r w:rsidR="00ED4E34">
        <w:rPr>
          <w:rFonts w:ascii="Times New Roman" w:hAnsi="Times New Roman" w:cs="Times New Roman"/>
          <w:sz w:val="24"/>
          <w:szCs w:val="24"/>
        </w:rPr>
        <w:t xml:space="preserve"> </w:t>
      </w:r>
      <w:r w:rsidR="00ED4E34" w:rsidRPr="004B00C3">
        <w:rPr>
          <w:rFonts w:ascii="Times New Roman" w:hAnsi="Times New Roman" w:cs="Times New Roman"/>
          <w:sz w:val="24"/>
          <w:szCs w:val="24"/>
        </w:rPr>
        <w:t>v5.0 and EDGAR</w:t>
      </w:r>
      <w:r w:rsidR="00ED4E34">
        <w:rPr>
          <w:rFonts w:ascii="Times New Roman" w:hAnsi="Times New Roman" w:cs="Times New Roman"/>
          <w:sz w:val="24"/>
          <w:szCs w:val="24"/>
        </w:rPr>
        <w:t xml:space="preserve"> </w:t>
      </w:r>
      <w:r w:rsidR="00ED4E34" w:rsidRPr="004B00C3">
        <w:rPr>
          <w:rFonts w:ascii="Times New Roman" w:hAnsi="Times New Roman" w:cs="Times New Roman"/>
          <w:sz w:val="24"/>
          <w:szCs w:val="24"/>
        </w:rPr>
        <w:t>v4.3.2</w:t>
      </w:r>
      <w:r w:rsidR="00ED4E34">
        <w:rPr>
          <w:rFonts w:ascii="Times New Roman" w:hAnsi="Times New Roman" w:cs="Times New Roman"/>
          <w:sz w:val="24"/>
          <w:szCs w:val="24"/>
        </w:rPr>
        <w:t xml:space="preserve"> emission inventory, only </w:t>
      </w:r>
      <w:r w:rsidR="00ED4E34" w:rsidRPr="004B00C3">
        <w:rPr>
          <w:rFonts w:ascii="Times New Roman" w:hAnsi="Times New Roman" w:cs="Times New Roman"/>
          <w:sz w:val="24"/>
          <w:szCs w:val="24"/>
        </w:rPr>
        <w:t>GAINS</w:t>
      </w:r>
      <w:r w:rsidR="00ED4E34">
        <w:rPr>
          <w:rFonts w:ascii="Times New Roman" w:hAnsi="Times New Roman" w:cs="Times New Roman"/>
          <w:sz w:val="24"/>
          <w:szCs w:val="24"/>
        </w:rPr>
        <w:t xml:space="preserve"> </w:t>
      </w:r>
      <w:r w:rsidR="00ED4E34" w:rsidRPr="004B00C3">
        <w:rPr>
          <w:rFonts w:ascii="Times New Roman" w:hAnsi="Times New Roman" w:cs="Times New Roman"/>
          <w:sz w:val="24"/>
          <w:szCs w:val="24"/>
        </w:rPr>
        <w:t>v5.0</w:t>
      </w:r>
      <w:r w:rsidR="00ED4E34">
        <w:rPr>
          <w:rFonts w:ascii="Times New Roman" w:hAnsi="Times New Roman" w:cs="Times New Roman"/>
          <w:sz w:val="24"/>
          <w:szCs w:val="24"/>
        </w:rPr>
        <w:t xml:space="preserve"> source data for the receptor site resembled the PMF derived model solutions</w:t>
      </w:r>
      <w:r w:rsidR="0081572B">
        <w:rPr>
          <w:rFonts w:ascii="Times New Roman" w:hAnsi="Times New Roman" w:cs="Times New Roman"/>
          <w:sz w:val="24"/>
          <w:szCs w:val="24"/>
        </w:rPr>
        <w:t xml:space="preserve"> most closely</w:t>
      </w:r>
      <w:r w:rsidR="00ED4E34">
        <w:rPr>
          <w:rFonts w:ascii="Times New Roman" w:hAnsi="Times New Roman" w:cs="Times New Roman"/>
          <w:sz w:val="24"/>
          <w:szCs w:val="24"/>
        </w:rPr>
        <w:t>.</w:t>
      </w:r>
      <w:r w:rsidR="0081572B">
        <w:rPr>
          <w:rFonts w:ascii="Times New Roman" w:hAnsi="Times New Roman" w:cs="Times New Roman"/>
          <w:sz w:val="24"/>
          <w:szCs w:val="24"/>
        </w:rPr>
        <w:t xml:space="preserve"> With respect to </w:t>
      </w:r>
      <w:r w:rsidR="00525623">
        <w:rPr>
          <w:rFonts w:ascii="Times New Roman" w:hAnsi="Times New Roman" w:cs="Times New Roman"/>
          <w:sz w:val="24"/>
          <w:szCs w:val="24"/>
        </w:rPr>
        <w:t xml:space="preserve">the </w:t>
      </w:r>
      <w:r w:rsidR="0081572B">
        <w:rPr>
          <w:rFonts w:ascii="Times New Roman" w:hAnsi="Times New Roman" w:cs="Times New Roman"/>
          <w:sz w:val="24"/>
          <w:szCs w:val="24"/>
        </w:rPr>
        <w:t>wheat residue burning emissions, th</w:t>
      </w:r>
      <w:r w:rsidR="00525623">
        <w:rPr>
          <w:rFonts w:ascii="Times New Roman" w:hAnsi="Times New Roman" w:cs="Times New Roman"/>
          <w:sz w:val="24"/>
          <w:szCs w:val="24"/>
        </w:rPr>
        <w:t>is</w:t>
      </w:r>
      <w:r w:rsidR="0081572B">
        <w:rPr>
          <w:rFonts w:ascii="Times New Roman" w:hAnsi="Times New Roman" w:cs="Times New Roman"/>
          <w:sz w:val="24"/>
          <w:szCs w:val="24"/>
        </w:rPr>
        <w:t xml:space="preserve"> source was completely absent from REAS v2.1 whereas </w:t>
      </w:r>
      <w:r w:rsidR="0081572B" w:rsidRPr="004B00C3">
        <w:rPr>
          <w:rFonts w:ascii="Times New Roman" w:hAnsi="Times New Roman" w:cs="Times New Roman"/>
          <w:sz w:val="24"/>
          <w:szCs w:val="24"/>
        </w:rPr>
        <w:t>in the EDGARv4.3.2 inventory</w:t>
      </w:r>
      <w:r w:rsidR="0081572B">
        <w:rPr>
          <w:rFonts w:ascii="Times New Roman" w:hAnsi="Times New Roman" w:cs="Times New Roman"/>
          <w:sz w:val="24"/>
          <w:szCs w:val="24"/>
        </w:rPr>
        <w:t xml:space="preserve">, </w:t>
      </w:r>
      <w:r w:rsidR="0081572B" w:rsidRPr="004B00C3">
        <w:rPr>
          <w:rFonts w:ascii="Times New Roman" w:hAnsi="Times New Roman" w:cs="Times New Roman"/>
          <w:sz w:val="24"/>
          <w:szCs w:val="24"/>
        </w:rPr>
        <w:t>some of the</w:t>
      </w:r>
      <w:r w:rsidR="0081572B">
        <w:rPr>
          <w:rFonts w:ascii="Times New Roman" w:hAnsi="Times New Roman" w:cs="Times New Roman"/>
          <w:sz w:val="24"/>
          <w:szCs w:val="24"/>
        </w:rPr>
        <w:t xml:space="preserve"> </w:t>
      </w:r>
      <w:r w:rsidR="005E3497">
        <w:rPr>
          <w:rFonts w:ascii="Times New Roman" w:hAnsi="Times New Roman" w:cs="Times New Roman"/>
          <w:sz w:val="24"/>
          <w:szCs w:val="24"/>
        </w:rPr>
        <w:t xml:space="preserve">chemical </w:t>
      </w:r>
      <w:r w:rsidR="0081572B" w:rsidRPr="004B00C3">
        <w:rPr>
          <w:rFonts w:ascii="Times New Roman" w:hAnsi="Times New Roman" w:cs="Times New Roman"/>
          <w:sz w:val="24"/>
          <w:szCs w:val="24"/>
        </w:rPr>
        <w:t>compound groups</w:t>
      </w:r>
      <w:r w:rsidR="0081572B">
        <w:rPr>
          <w:rFonts w:ascii="Times New Roman" w:hAnsi="Times New Roman" w:cs="Times New Roman"/>
          <w:sz w:val="24"/>
          <w:szCs w:val="24"/>
        </w:rPr>
        <w:t xml:space="preserve"> like </w:t>
      </w:r>
      <w:r w:rsidR="0081572B" w:rsidRPr="004B00C3">
        <w:rPr>
          <w:rFonts w:ascii="Times New Roman" w:hAnsi="Times New Roman" w:cs="Times New Roman"/>
          <w:sz w:val="24"/>
          <w:szCs w:val="24"/>
        </w:rPr>
        <w:t>aldehydes</w:t>
      </w:r>
      <w:r w:rsidR="0081572B">
        <w:rPr>
          <w:rFonts w:ascii="Times New Roman" w:hAnsi="Times New Roman" w:cs="Times New Roman"/>
          <w:sz w:val="24"/>
          <w:szCs w:val="24"/>
        </w:rPr>
        <w:t>, ketones</w:t>
      </w:r>
      <w:r w:rsidR="0081572B" w:rsidRPr="004B00C3">
        <w:rPr>
          <w:rFonts w:ascii="Times New Roman" w:hAnsi="Times New Roman" w:cs="Times New Roman"/>
          <w:sz w:val="24"/>
          <w:szCs w:val="24"/>
        </w:rPr>
        <w:t xml:space="preserve"> and acids) </w:t>
      </w:r>
      <w:r w:rsidR="0081572B">
        <w:rPr>
          <w:rFonts w:ascii="Times New Roman" w:hAnsi="Times New Roman" w:cs="Times New Roman"/>
          <w:sz w:val="24"/>
          <w:szCs w:val="24"/>
        </w:rPr>
        <w:t>were</w:t>
      </w:r>
      <w:r w:rsidR="0081572B" w:rsidRPr="004B00C3">
        <w:rPr>
          <w:rFonts w:ascii="Times New Roman" w:hAnsi="Times New Roman" w:cs="Times New Roman"/>
          <w:sz w:val="24"/>
          <w:szCs w:val="24"/>
        </w:rPr>
        <w:t xml:space="preserve"> missing</w:t>
      </w:r>
      <w:r w:rsidR="0081572B">
        <w:rPr>
          <w:rFonts w:ascii="Times New Roman" w:hAnsi="Times New Roman" w:cs="Times New Roman"/>
          <w:sz w:val="24"/>
          <w:szCs w:val="24"/>
        </w:rPr>
        <w:t xml:space="preserve">. </w:t>
      </w:r>
      <w:r w:rsidR="006F00F7" w:rsidRPr="004B00C3">
        <w:rPr>
          <w:rFonts w:ascii="Times New Roman" w:hAnsi="Times New Roman" w:cs="Times New Roman"/>
          <w:sz w:val="24"/>
          <w:szCs w:val="24"/>
        </w:rPr>
        <w:t>Th</w:t>
      </w:r>
      <w:r w:rsidR="0081572B">
        <w:rPr>
          <w:rFonts w:ascii="Times New Roman" w:hAnsi="Times New Roman" w:cs="Times New Roman"/>
          <w:sz w:val="24"/>
          <w:szCs w:val="24"/>
        </w:rPr>
        <w:t>erefore</w:t>
      </w:r>
      <w:r w:rsidR="006F00F7" w:rsidRPr="004B00C3">
        <w:rPr>
          <w:rFonts w:ascii="Times New Roman" w:hAnsi="Times New Roman" w:cs="Times New Roman"/>
          <w:sz w:val="24"/>
          <w:szCs w:val="24"/>
        </w:rPr>
        <w:t xml:space="preserve">, </w:t>
      </w:r>
      <w:r w:rsidR="0081572B">
        <w:rPr>
          <w:rFonts w:ascii="Times New Roman" w:hAnsi="Times New Roman" w:cs="Times New Roman"/>
          <w:sz w:val="24"/>
          <w:szCs w:val="24"/>
        </w:rPr>
        <w:t xml:space="preserve">the </w:t>
      </w:r>
      <w:r w:rsidR="0081572B" w:rsidRPr="004B00C3">
        <w:rPr>
          <w:rFonts w:ascii="Times New Roman" w:hAnsi="Times New Roman" w:cs="Times New Roman"/>
          <w:sz w:val="24"/>
          <w:szCs w:val="24"/>
        </w:rPr>
        <w:t xml:space="preserve">existing </w:t>
      </w:r>
      <w:r w:rsidR="0081572B">
        <w:rPr>
          <w:rFonts w:ascii="Times New Roman" w:hAnsi="Times New Roman" w:cs="Times New Roman"/>
          <w:sz w:val="24"/>
          <w:szCs w:val="24"/>
        </w:rPr>
        <w:t xml:space="preserve">regional and global </w:t>
      </w:r>
      <w:r w:rsidR="0081572B" w:rsidRPr="004B00C3">
        <w:rPr>
          <w:rFonts w:ascii="Times New Roman" w:hAnsi="Times New Roman" w:cs="Times New Roman"/>
          <w:sz w:val="24"/>
          <w:szCs w:val="24"/>
        </w:rPr>
        <w:t xml:space="preserve">emission inventories </w:t>
      </w:r>
      <w:r w:rsidR="0081572B">
        <w:rPr>
          <w:rFonts w:ascii="Times New Roman" w:hAnsi="Times New Roman" w:cs="Times New Roman"/>
          <w:sz w:val="24"/>
          <w:szCs w:val="24"/>
        </w:rPr>
        <w:t>require substantial</w:t>
      </w:r>
      <w:r w:rsidR="006F00F7" w:rsidRPr="004B00C3">
        <w:rPr>
          <w:rFonts w:ascii="Times New Roman" w:hAnsi="Times New Roman" w:cs="Times New Roman"/>
          <w:sz w:val="24"/>
          <w:szCs w:val="24"/>
        </w:rPr>
        <w:t xml:space="preserve"> improvements</w:t>
      </w:r>
      <w:r w:rsidR="0081572B">
        <w:rPr>
          <w:rFonts w:ascii="Times New Roman" w:hAnsi="Times New Roman" w:cs="Times New Roman"/>
          <w:sz w:val="24"/>
          <w:szCs w:val="24"/>
        </w:rPr>
        <w:t>, not only</w:t>
      </w:r>
      <w:r w:rsidR="006F00F7" w:rsidRPr="004B00C3">
        <w:rPr>
          <w:rFonts w:ascii="Times New Roman" w:hAnsi="Times New Roman" w:cs="Times New Roman"/>
          <w:sz w:val="24"/>
          <w:szCs w:val="24"/>
        </w:rPr>
        <w:t xml:space="preserve"> </w:t>
      </w:r>
      <w:r w:rsidR="0081572B">
        <w:rPr>
          <w:rFonts w:ascii="Times New Roman" w:hAnsi="Times New Roman" w:cs="Times New Roman"/>
          <w:sz w:val="24"/>
          <w:szCs w:val="24"/>
        </w:rPr>
        <w:t>in terms of</w:t>
      </w:r>
      <w:r w:rsidR="006F00F7" w:rsidRPr="004B00C3">
        <w:rPr>
          <w:rFonts w:ascii="Times New Roman" w:hAnsi="Times New Roman" w:cs="Times New Roman"/>
          <w:sz w:val="24"/>
          <w:szCs w:val="24"/>
        </w:rPr>
        <w:t xml:space="preserve"> </w:t>
      </w:r>
      <w:r w:rsidR="0081572B">
        <w:rPr>
          <w:rFonts w:ascii="Times New Roman" w:hAnsi="Times New Roman" w:cs="Times New Roman"/>
          <w:sz w:val="24"/>
          <w:szCs w:val="24"/>
        </w:rPr>
        <w:t>accurate</w:t>
      </w:r>
      <w:r w:rsidR="006F00F7" w:rsidRPr="004B00C3">
        <w:rPr>
          <w:rFonts w:ascii="Times New Roman" w:hAnsi="Times New Roman" w:cs="Times New Roman"/>
          <w:sz w:val="24"/>
          <w:szCs w:val="24"/>
        </w:rPr>
        <w:t xml:space="preserve"> source </w:t>
      </w:r>
      <w:r w:rsidR="0081572B" w:rsidRPr="004B00C3">
        <w:rPr>
          <w:rFonts w:ascii="Times New Roman" w:hAnsi="Times New Roman" w:cs="Times New Roman"/>
          <w:sz w:val="24"/>
          <w:szCs w:val="24"/>
        </w:rPr>
        <w:t>a</w:t>
      </w:r>
      <w:r w:rsidR="0081572B">
        <w:rPr>
          <w:rFonts w:ascii="Times New Roman" w:hAnsi="Times New Roman" w:cs="Times New Roman"/>
          <w:sz w:val="24"/>
          <w:szCs w:val="24"/>
        </w:rPr>
        <w:t>pportionment but also</w:t>
      </w:r>
      <w:r w:rsidR="006F00F7" w:rsidRPr="004B00C3">
        <w:rPr>
          <w:rFonts w:ascii="Times New Roman" w:hAnsi="Times New Roman" w:cs="Times New Roman"/>
          <w:sz w:val="24"/>
          <w:szCs w:val="24"/>
        </w:rPr>
        <w:t xml:space="preserve"> </w:t>
      </w:r>
      <w:r w:rsidR="005E3497">
        <w:rPr>
          <w:rFonts w:ascii="Times New Roman" w:hAnsi="Times New Roman" w:cs="Times New Roman"/>
          <w:sz w:val="24"/>
          <w:szCs w:val="24"/>
        </w:rPr>
        <w:t xml:space="preserve">in </w:t>
      </w:r>
      <w:r w:rsidR="0081572B">
        <w:rPr>
          <w:rFonts w:ascii="Times New Roman" w:hAnsi="Times New Roman" w:cs="Times New Roman"/>
          <w:sz w:val="24"/>
          <w:szCs w:val="24"/>
        </w:rPr>
        <w:t>inco</w:t>
      </w:r>
      <w:r w:rsidR="005E3497">
        <w:rPr>
          <w:rFonts w:ascii="Times New Roman" w:hAnsi="Times New Roman" w:cs="Times New Roman"/>
          <w:sz w:val="24"/>
          <w:szCs w:val="24"/>
        </w:rPr>
        <w:t>rporation</w:t>
      </w:r>
      <w:r w:rsidR="006F00F7" w:rsidRPr="004B00C3">
        <w:rPr>
          <w:rFonts w:ascii="Times New Roman" w:hAnsi="Times New Roman" w:cs="Times New Roman"/>
          <w:sz w:val="24"/>
          <w:szCs w:val="24"/>
        </w:rPr>
        <w:t xml:space="preserve"> of </w:t>
      </w:r>
      <w:r w:rsidR="005E3497">
        <w:rPr>
          <w:rFonts w:ascii="Times New Roman" w:hAnsi="Times New Roman" w:cs="Times New Roman"/>
          <w:sz w:val="24"/>
          <w:szCs w:val="24"/>
        </w:rPr>
        <w:t xml:space="preserve">several </w:t>
      </w:r>
      <w:r w:rsidR="006F00F7" w:rsidRPr="004B00C3">
        <w:rPr>
          <w:rFonts w:ascii="Times New Roman" w:hAnsi="Times New Roman" w:cs="Times New Roman"/>
          <w:sz w:val="24"/>
          <w:szCs w:val="24"/>
        </w:rPr>
        <w:t>missing</w:t>
      </w:r>
      <w:r w:rsidR="005E3497">
        <w:rPr>
          <w:rFonts w:ascii="Times New Roman" w:hAnsi="Times New Roman" w:cs="Times New Roman"/>
          <w:sz w:val="24"/>
          <w:szCs w:val="24"/>
        </w:rPr>
        <w:t xml:space="preserve"> chemical</w:t>
      </w:r>
      <w:r w:rsidR="006F00F7" w:rsidRPr="004B00C3">
        <w:rPr>
          <w:rFonts w:ascii="Times New Roman" w:hAnsi="Times New Roman" w:cs="Times New Roman"/>
          <w:sz w:val="24"/>
          <w:szCs w:val="24"/>
        </w:rPr>
        <w:t xml:space="preserve"> compounds</w:t>
      </w:r>
      <w:r w:rsidR="005E3497">
        <w:rPr>
          <w:rFonts w:ascii="Times New Roman" w:hAnsi="Times New Roman" w:cs="Times New Roman"/>
          <w:sz w:val="24"/>
          <w:szCs w:val="24"/>
        </w:rPr>
        <w:t xml:space="preserve"> over northwest India</w:t>
      </w:r>
      <w:r w:rsidR="006F00F7" w:rsidRPr="004B00C3">
        <w:rPr>
          <w:rFonts w:ascii="Times New Roman" w:hAnsi="Times New Roman" w:cs="Times New Roman"/>
          <w:sz w:val="24"/>
          <w:szCs w:val="24"/>
        </w:rPr>
        <w:t>.</w:t>
      </w:r>
    </w:p>
    <w:p w14:paraId="4599F6AD" w14:textId="389C548E" w:rsidR="009912C4" w:rsidRDefault="009912C4" w:rsidP="006F00F7">
      <w:pPr>
        <w:spacing w:line="360" w:lineRule="auto"/>
        <w:jc w:val="both"/>
        <w:rPr>
          <w:rFonts w:ascii="Times New Roman" w:hAnsi="Times New Roman" w:cs="Times New Roman"/>
          <w:sz w:val="24"/>
          <w:szCs w:val="24"/>
        </w:rPr>
      </w:pPr>
      <w:r>
        <w:rPr>
          <w:rFonts w:ascii="Times New Roman" w:hAnsi="Times New Roman" w:cs="Times New Roman"/>
          <w:sz w:val="24"/>
          <w:szCs w:val="24"/>
        </w:rPr>
        <w:t>As per the modelled source contributions, b</w:t>
      </w:r>
      <w:r w:rsidRPr="004B00C3">
        <w:rPr>
          <w:rFonts w:ascii="Times New Roman" w:hAnsi="Times New Roman" w:cs="Times New Roman"/>
          <w:sz w:val="24"/>
          <w:szCs w:val="24"/>
        </w:rPr>
        <w:t>enzene</w:t>
      </w:r>
      <w:r>
        <w:rPr>
          <w:rFonts w:ascii="Times New Roman" w:hAnsi="Times New Roman" w:cs="Times New Roman"/>
          <w:sz w:val="24"/>
          <w:szCs w:val="24"/>
        </w:rPr>
        <w:t xml:space="preserve"> (</w:t>
      </w:r>
      <w:r w:rsidRPr="00594C32">
        <w:rPr>
          <w:rFonts w:ascii="Times New Roman" w:hAnsi="Times New Roman" w:cs="Times New Roman"/>
          <w:sz w:val="24"/>
          <w:szCs w:val="24"/>
        </w:rPr>
        <w:t>Group-1 carcinogen</w:t>
      </w:r>
      <w:r>
        <w:rPr>
          <w:rFonts w:ascii="Times New Roman" w:hAnsi="Times New Roman" w:cs="Times New Roman"/>
          <w:sz w:val="24"/>
          <w:szCs w:val="24"/>
        </w:rPr>
        <w:t>) concentrations at the measurement site, was found to have</w:t>
      </w:r>
      <w:r w:rsidRPr="00594C32">
        <w:rPr>
          <w:rFonts w:ascii="Times New Roman" w:hAnsi="Times New Roman" w:cs="Times New Roman"/>
          <w:sz w:val="24"/>
          <w:szCs w:val="24"/>
        </w:rPr>
        <w:t xml:space="preserve"> </w:t>
      </w:r>
      <w:r>
        <w:rPr>
          <w:rFonts w:ascii="Times New Roman" w:hAnsi="Times New Roman" w:cs="Times New Roman"/>
          <w:sz w:val="24"/>
          <w:szCs w:val="24"/>
        </w:rPr>
        <w:t>~50% contributions coming from</w:t>
      </w:r>
      <w:r w:rsidRPr="004B00C3">
        <w:rPr>
          <w:rFonts w:ascii="Times New Roman" w:hAnsi="Times New Roman" w:cs="Times New Roman"/>
          <w:sz w:val="24"/>
          <w:szCs w:val="24"/>
        </w:rPr>
        <w:t xml:space="preserve"> the traffic</w:t>
      </w:r>
      <w:r>
        <w:rPr>
          <w:rFonts w:ascii="Times New Roman" w:hAnsi="Times New Roman" w:cs="Times New Roman"/>
          <w:sz w:val="24"/>
          <w:szCs w:val="24"/>
        </w:rPr>
        <w:t xml:space="preserve"> (cars and two-wheelers)</w:t>
      </w:r>
      <w:r w:rsidRPr="004B00C3">
        <w:rPr>
          <w:rFonts w:ascii="Times New Roman" w:hAnsi="Times New Roman" w:cs="Times New Roman"/>
          <w:sz w:val="24"/>
          <w:szCs w:val="24"/>
        </w:rPr>
        <w:t xml:space="preserve"> factor alone followed by </w:t>
      </w:r>
      <w:r>
        <w:rPr>
          <w:rFonts w:ascii="Times New Roman" w:hAnsi="Times New Roman" w:cs="Times New Roman"/>
          <w:sz w:val="24"/>
          <w:szCs w:val="24"/>
        </w:rPr>
        <w:t xml:space="preserve">~25% </w:t>
      </w:r>
      <w:r w:rsidRPr="004B00C3">
        <w:rPr>
          <w:rFonts w:ascii="Times New Roman" w:hAnsi="Times New Roman" w:cs="Times New Roman"/>
          <w:sz w:val="24"/>
          <w:szCs w:val="24"/>
        </w:rPr>
        <w:t xml:space="preserve">residential biofuel use and waste </w:t>
      </w:r>
      <w:r w:rsidRPr="004B00C3">
        <w:rPr>
          <w:rFonts w:ascii="Times New Roman" w:hAnsi="Times New Roman" w:cs="Times New Roman"/>
          <w:sz w:val="24"/>
          <w:szCs w:val="24"/>
        </w:rPr>
        <w:lastRenderedPageBreak/>
        <w:t xml:space="preserve">disposal. </w:t>
      </w:r>
      <w:r w:rsidR="00F97A3F">
        <w:rPr>
          <w:rFonts w:ascii="Times New Roman" w:hAnsi="Times New Roman" w:cs="Times New Roman"/>
          <w:sz w:val="24"/>
          <w:szCs w:val="24"/>
        </w:rPr>
        <w:t>These source</w:t>
      </w:r>
      <w:r w:rsidR="00B472FC">
        <w:rPr>
          <w:rFonts w:ascii="Times New Roman" w:hAnsi="Times New Roman" w:cs="Times New Roman"/>
          <w:sz w:val="24"/>
          <w:szCs w:val="24"/>
        </w:rPr>
        <w:t>s</w:t>
      </w:r>
      <w:r w:rsidR="00F97A3F">
        <w:rPr>
          <w:rFonts w:ascii="Times New Roman" w:hAnsi="Times New Roman" w:cs="Times New Roman"/>
          <w:sz w:val="24"/>
          <w:szCs w:val="24"/>
        </w:rPr>
        <w:t>, therefore demands special attention for devising emission reduction strategies.</w:t>
      </w:r>
    </w:p>
    <w:p w14:paraId="4CDEC7C8" w14:textId="05BBB8F8" w:rsidR="00DB4386" w:rsidRDefault="00F97A3F" w:rsidP="00A648FD">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rPr>
        <w:t xml:space="preserve">For the particulate source apportionment </w:t>
      </w:r>
      <w:r w:rsidR="0097744D">
        <w:rPr>
          <w:rFonts w:ascii="Times New Roman" w:hAnsi="Times New Roman" w:cs="Times New Roman"/>
          <w:sz w:val="24"/>
          <w:szCs w:val="24"/>
        </w:rPr>
        <w:t xml:space="preserve">matter </w:t>
      </w:r>
      <w:r>
        <w:rPr>
          <w:rFonts w:ascii="Times New Roman" w:hAnsi="Times New Roman" w:cs="Times New Roman"/>
          <w:sz w:val="24"/>
          <w:szCs w:val="24"/>
        </w:rPr>
        <w:t>case</w:t>
      </w:r>
      <w:r w:rsidR="00A648FD" w:rsidRPr="00E66FEA">
        <w:rPr>
          <w:rFonts w:ascii="Times New Roman" w:hAnsi="Times New Roman" w:cs="Times New Roman"/>
          <w:sz w:val="24"/>
          <w:szCs w:val="24"/>
        </w:rPr>
        <w:t xml:space="preserve">, </w:t>
      </w:r>
      <w:r w:rsidR="003E54FB" w:rsidRPr="00E66FEA">
        <w:rPr>
          <w:rFonts w:ascii="Times New Roman" w:hAnsi="Times New Roman" w:cs="Times New Roman"/>
          <w:sz w:val="24"/>
          <w:szCs w:val="24"/>
        </w:rPr>
        <w:t xml:space="preserve">dust (34-49 %) and biomass burning emissions (36-52 %) </w:t>
      </w:r>
      <w:r w:rsidR="003E54FB">
        <w:rPr>
          <w:rFonts w:ascii="Times New Roman" w:hAnsi="Times New Roman" w:cs="Times New Roman"/>
          <w:sz w:val="24"/>
          <w:szCs w:val="24"/>
        </w:rPr>
        <w:t>were found to be</w:t>
      </w:r>
      <w:r w:rsidR="003E54FB" w:rsidRPr="00E66FEA">
        <w:rPr>
          <w:rFonts w:ascii="Times New Roman" w:hAnsi="Times New Roman" w:cs="Times New Roman"/>
          <w:sz w:val="24"/>
          <w:szCs w:val="24"/>
        </w:rPr>
        <w:t xml:space="preserve"> the top two contributors to the total PM</w:t>
      </w:r>
      <w:r w:rsidR="003E54FB">
        <w:rPr>
          <w:rFonts w:ascii="Times New Roman" w:hAnsi="Times New Roman" w:cs="Times New Roman"/>
          <w:sz w:val="24"/>
          <w:szCs w:val="24"/>
          <w:vertAlign w:val="subscript"/>
        </w:rPr>
        <w:t>10</w:t>
      </w:r>
      <w:r w:rsidR="003E54FB">
        <w:rPr>
          <w:rFonts w:ascii="Times New Roman" w:hAnsi="Times New Roman" w:cs="Times New Roman"/>
          <w:sz w:val="24"/>
          <w:szCs w:val="24"/>
        </w:rPr>
        <w:t xml:space="preserve"> and PM</w:t>
      </w:r>
      <w:r w:rsidR="003E54FB">
        <w:rPr>
          <w:rFonts w:ascii="Times New Roman" w:hAnsi="Times New Roman" w:cs="Times New Roman"/>
          <w:sz w:val="24"/>
          <w:szCs w:val="24"/>
          <w:vertAlign w:val="subscript"/>
        </w:rPr>
        <w:t>2.5</w:t>
      </w:r>
      <w:r w:rsidR="003E54FB" w:rsidRPr="00E66FEA">
        <w:rPr>
          <w:rFonts w:ascii="Times New Roman" w:hAnsi="Times New Roman" w:cs="Times New Roman"/>
          <w:sz w:val="24"/>
          <w:szCs w:val="24"/>
        </w:rPr>
        <w:t xml:space="preserve"> loading amounting to ~85 % at this site. </w:t>
      </w:r>
      <w:r w:rsidR="003E54FB">
        <w:rPr>
          <w:rFonts w:ascii="Times New Roman" w:hAnsi="Times New Roman" w:cs="Times New Roman"/>
          <w:sz w:val="24"/>
          <w:szCs w:val="24"/>
        </w:rPr>
        <w:t>D</w:t>
      </w:r>
      <w:r w:rsidR="003E54FB" w:rsidRPr="00E66FEA">
        <w:rPr>
          <w:rFonts w:ascii="Times New Roman" w:hAnsi="Times New Roman" w:cs="Times New Roman"/>
          <w:sz w:val="24"/>
          <w:szCs w:val="24"/>
        </w:rPr>
        <w:t xml:space="preserve">ust factor and biomass burning factor </w:t>
      </w:r>
      <w:r w:rsidR="003E54FB">
        <w:rPr>
          <w:rFonts w:ascii="Times New Roman" w:hAnsi="Times New Roman" w:cs="Times New Roman"/>
          <w:sz w:val="24"/>
          <w:szCs w:val="24"/>
        </w:rPr>
        <w:t>explained a</w:t>
      </w:r>
      <w:r w:rsidR="003E54FB" w:rsidRPr="00E66FEA">
        <w:rPr>
          <w:rFonts w:ascii="Times New Roman" w:hAnsi="Times New Roman" w:cs="Times New Roman"/>
          <w:sz w:val="24"/>
          <w:szCs w:val="24"/>
        </w:rPr>
        <w:t>bout 50% of coarse mode PM (PM</w:t>
      </w:r>
      <w:r w:rsidR="003E54FB" w:rsidRPr="00E66FEA">
        <w:rPr>
          <w:rFonts w:ascii="Times New Roman" w:hAnsi="Times New Roman" w:cs="Times New Roman"/>
          <w:sz w:val="24"/>
          <w:szCs w:val="24"/>
          <w:vertAlign w:val="subscript"/>
        </w:rPr>
        <w:t>10</w:t>
      </w:r>
      <w:r w:rsidR="003E54FB" w:rsidRPr="00E66FEA">
        <w:rPr>
          <w:rFonts w:ascii="Times New Roman" w:hAnsi="Times New Roman" w:cs="Times New Roman"/>
          <w:sz w:val="24"/>
          <w:szCs w:val="24"/>
        </w:rPr>
        <w:t>) and fine mode PM (PM</w:t>
      </w:r>
      <w:r w:rsidR="003E54FB" w:rsidRPr="00E66FEA">
        <w:rPr>
          <w:rFonts w:ascii="Times New Roman" w:hAnsi="Times New Roman" w:cs="Times New Roman"/>
          <w:sz w:val="24"/>
          <w:szCs w:val="24"/>
          <w:vertAlign w:val="subscript"/>
        </w:rPr>
        <w:t>2.5</w:t>
      </w:r>
      <w:r w:rsidR="003E54FB" w:rsidRPr="00E66FEA">
        <w:rPr>
          <w:rFonts w:ascii="Times New Roman" w:hAnsi="Times New Roman" w:cs="Times New Roman"/>
          <w:sz w:val="24"/>
          <w:szCs w:val="24"/>
        </w:rPr>
        <w:t>) measured at Mohali respectively.</w:t>
      </w:r>
      <w:r w:rsidR="00557B78">
        <w:rPr>
          <w:rFonts w:ascii="Times New Roman" w:hAnsi="Times New Roman" w:cs="Times New Roman"/>
          <w:sz w:val="24"/>
          <w:szCs w:val="24"/>
        </w:rPr>
        <w:t xml:space="preserve"> </w:t>
      </w:r>
      <w:r w:rsidR="00C94A38">
        <w:rPr>
          <w:rFonts w:ascii="Times New Roman" w:hAnsi="Times New Roman" w:cs="Times New Roman"/>
          <w:sz w:val="24"/>
          <w:szCs w:val="24"/>
        </w:rPr>
        <w:t>Thus</w:t>
      </w:r>
      <w:r w:rsidR="003E54FB" w:rsidRPr="00E66FEA">
        <w:rPr>
          <w:rFonts w:ascii="Times New Roman" w:hAnsi="Times New Roman" w:cs="Times New Roman"/>
          <w:sz w:val="24"/>
          <w:szCs w:val="24"/>
        </w:rPr>
        <w:t xml:space="preserve">, these PM sources </w:t>
      </w:r>
      <w:r w:rsidR="00C94A38">
        <w:rPr>
          <w:rFonts w:ascii="Times New Roman" w:hAnsi="Times New Roman" w:cs="Times New Roman"/>
          <w:sz w:val="24"/>
          <w:szCs w:val="24"/>
        </w:rPr>
        <w:t>deserve</w:t>
      </w:r>
      <w:r w:rsidR="003E54FB" w:rsidRPr="00E66FEA">
        <w:rPr>
          <w:rFonts w:ascii="Times New Roman" w:hAnsi="Times New Roman" w:cs="Times New Roman"/>
          <w:sz w:val="24"/>
          <w:szCs w:val="24"/>
        </w:rPr>
        <w:t xml:space="preserve"> careful consider</w:t>
      </w:r>
      <w:r w:rsidR="00C94A38">
        <w:rPr>
          <w:rFonts w:ascii="Times New Roman" w:hAnsi="Times New Roman" w:cs="Times New Roman"/>
          <w:sz w:val="24"/>
          <w:szCs w:val="24"/>
        </w:rPr>
        <w:t>ation</w:t>
      </w:r>
      <w:r w:rsidR="003E54FB" w:rsidRPr="00E66FEA">
        <w:rPr>
          <w:rFonts w:ascii="Times New Roman" w:hAnsi="Times New Roman" w:cs="Times New Roman"/>
          <w:sz w:val="24"/>
          <w:szCs w:val="24"/>
        </w:rPr>
        <w:t xml:space="preserve"> while formulating </w:t>
      </w:r>
      <w:r w:rsidR="00E72940">
        <w:rPr>
          <w:rFonts w:ascii="Times New Roman" w:hAnsi="Times New Roman" w:cs="Times New Roman"/>
          <w:sz w:val="24"/>
          <w:szCs w:val="24"/>
        </w:rPr>
        <w:t>particle</w:t>
      </w:r>
      <w:r w:rsidR="003E54FB" w:rsidRPr="00E66FEA">
        <w:rPr>
          <w:rFonts w:ascii="Times New Roman" w:hAnsi="Times New Roman" w:cs="Times New Roman"/>
          <w:sz w:val="24"/>
          <w:szCs w:val="24"/>
        </w:rPr>
        <w:t xml:space="preserve"> pollution control </w:t>
      </w:r>
      <w:r w:rsidR="00C94A38">
        <w:rPr>
          <w:rFonts w:ascii="Times New Roman" w:hAnsi="Times New Roman" w:cs="Times New Roman"/>
          <w:sz w:val="24"/>
          <w:szCs w:val="24"/>
        </w:rPr>
        <w:t xml:space="preserve">measures </w:t>
      </w:r>
      <w:r w:rsidR="003E54FB" w:rsidRPr="00E66FEA">
        <w:rPr>
          <w:rFonts w:ascii="Times New Roman" w:hAnsi="Times New Roman" w:cs="Times New Roman"/>
          <w:sz w:val="24"/>
          <w:szCs w:val="24"/>
        </w:rPr>
        <w:t>for this region in summer season.</w:t>
      </w:r>
      <w:r w:rsidR="00DB4386">
        <w:rPr>
          <w:rFonts w:ascii="Times New Roman" w:hAnsi="Times New Roman" w:cs="Times New Roman"/>
          <w:sz w:val="24"/>
          <w:szCs w:val="24"/>
        </w:rPr>
        <w:t xml:space="preserve"> </w:t>
      </w:r>
      <w:r w:rsidR="004B4D14">
        <w:rPr>
          <w:rFonts w:ascii="Times New Roman" w:hAnsi="Times New Roman" w:cs="Times New Roman"/>
          <w:sz w:val="24"/>
          <w:szCs w:val="24"/>
        </w:rPr>
        <w:t xml:space="preserve">Maximum PM </w:t>
      </w:r>
      <w:r w:rsidR="00DB4386" w:rsidRPr="00E66FEA">
        <w:rPr>
          <w:rFonts w:ascii="Times New Roman" w:hAnsi="Times New Roman" w:cs="Times New Roman"/>
          <w:sz w:val="24"/>
          <w:szCs w:val="24"/>
        </w:rPr>
        <w:t>enhancements</w:t>
      </w:r>
      <w:r w:rsidR="004B4D14">
        <w:rPr>
          <w:rFonts w:ascii="Times New Roman" w:hAnsi="Times New Roman" w:cs="Times New Roman"/>
          <w:sz w:val="24"/>
          <w:szCs w:val="24"/>
        </w:rPr>
        <w:t xml:space="preserve"> </w:t>
      </w:r>
      <w:r w:rsidR="00DB4386" w:rsidRPr="00E66FEA">
        <w:rPr>
          <w:rFonts w:ascii="Times New Roman" w:hAnsi="Times New Roman" w:cs="Times New Roman"/>
          <w:sz w:val="24"/>
          <w:szCs w:val="24"/>
        </w:rPr>
        <w:t>were observed during morning hours (</w:t>
      </w:r>
      <w:r w:rsidR="00DB4386" w:rsidRPr="00E66FEA">
        <w:rPr>
          <w:rFonts w:ascii="Times New Roman" w:hAnsi="Times New Roman" w:cs="Times New Roman"/>
          <w:sz w:val="24"/>
          <w:szCs w:val="24"/>
          <w:lang w:val="en-GB"/>
        </w:rPr>
        <w:t xml:space="preserve">04:00-10:00 LT) at the </w:t>
      </w:r>
      <w:r w:rsidR="009B0B2E">
        <w:rPr>
          <w:rFonts w:ascii="Times New Roman" w:hAnsi="Times New Roman" w:cs="Times New Roman"/>
          <w:sz w:val="24"/>
          <w:szCs w:val="24"/>
          <w:lang w:val="en-GB"/>
        </w:rPr>
        <w:t xml:space="preserve">receptor </w:t>
      </w:r>
      <w:r w:rsidR="00DB4386" w:rsidRPr="00E66FEA">
        <w:rPr>
          <w:rFonts w:ascii="Times New Roman" w:hAnsi="Times New Roman" w:cs="Times New Roman"/>
          <w:sz w:val="24"/>
          <w:szCs w:val="24"/>
          <w:lang w:val="en-GB"/>
        </w:rPr>
        <w:t>site. Therefore,</w:t>
      </w:r>
      <w:r w:rsidR="00680B38">
        <w:rPr>
          <w:rFonts w:ascii="Times New Roman" w:hAnsi="Times New Roman" w:cs="Times New Roman"/>
          <w:sz w:val="24"/>
          <w:szCs w:val="24"/>
          <w:lang w:val="en-GB"/>
        </w:rPr>
        <w:t xml:space="preserve"> it is recommended that the</w:t>
      </w:r>
      <w:r w:rsidR="00DB4386" w:rsidRPr="00E66FEA">
        <w:rPr>
          <w:rFonts w:ascii="Times New Roman" w:hAnsi="Times New Roman" w:cs="Times New Roman"/>
          <w:sz w:val="24"/>
          <w:szCs w:val="24"/>
          <w:lang w:val="en-GB"/>
        </w:rPr>
        <w:t xml:space="preserve"> </w:t>
      </w:r>
      <w:r w:rsidR="00680B38" w:rsidRPr="00E66FEA">
        <w:rPr>
          <w:rFonts w:ascii="Times New Roman" w:hAnsi="Times New Roman" w:cs="Times New Roman"/>
          <w:sz w:val="24"/>
          <w:szCs w:val="24"/>
          <w:lang w:val="en-GB"/>
        </w:rPr>
        <w:t>top PM source contributors</w:t>
      </w:r>
      <w:r w:rsidR="00680B38">
        <w:rPr>
          <w:rFonts w:ascii="Times New Roman" w:hAnsi="Times New Roman" w:cs="Times New Roman"/>
          <w:sz w:val="24"/>
          <w:szCs w:val="24"/>
          <w:lang w:val="en-GB"/>
        </w:rPr>
        <w:t xml:space="preserve"> have some pollution</w:t>
      </w:r>
      <w:r w:rsidR="00680B38" w:rsidRPr="00E66FEA">
        <w:rPr>
          <w:rFonts w:ascii="Times New Roman" w:hAnsi="Times New Roman" w:cs="Times New Roman"/>
          <w:sz w:val="24"/>
          <w:szCs w:val="24"/>
          <w:lang w:val="en-GB"/>
        </w:rPr>
        <w:t xml:space="preserve"> </w:t>
      </w:r>
      <w:r w:rsidR="00680B38">
        <w:rPr>
          <w:rFonts w:ascii="Times New Roman" w:hAnsi="Times New Roman" w:cs="Times New Roman"/>
          <w:sz w:val="24"/>
          <w:szCs w:val="24"/>
          <w:lang w:val="en-GB"/>
        </w:rPr>
        <w:t xml:space="preserve">control strategies </w:t>
      </w:r>
      <w:r w:rsidR="00680B38" w:rsidRPr="00E66FEA">
        <w:rPr>
          <w:rFonts w:ascii="Times New Roman" w:hAnsi="Times New Roman" w:cs="Times New Roman"/>
          <w:sz w:val="24"/>
          <w:szCs w:val="24"/>
          <w:lang w:val="en-GB"/>
        </w:rPr>
        <w:t>in this time interval</w:t>
      </w:r>
      <w:r w:rsidR="00680B38">
        <w:rPr>
          <w:rFonts w:ascii="Times New Roman" w:hAnsi="Times New Roman" w:cs="Times New Roman"/>
          <w:sz w:val="24"/>
          <w:szCs w:val="24"/>
          <w:lang w:val="en-GB"/>
        </w:rPr>
        <w:t xml:space="preserve"> </w:t>
      </w:r>
      <w:r w:rsidR="00DB4386" w:rsidRPr="00E66FEA">
        <w:rPr>
          <w:rFonts w:ascii="Times New Roman" w:hAnsi="Times New Roman" w:cs="Times New Roman"/>
          <w:sz w:val="24"/>
          <w:szCs w:val="24"/>
          <w:lang w:val="en-GB"/>
        </w:rPr>
        <w:t>at Mohali</w:t>
      </w:r>
      <w:r w:rsidR="00680B38">
        <w:rPr>
          <w:rFonts w:ascii="Times New Roman" w:hAnsi="Times New Roman" w:cs="Times New Roman"/>
          <w:sz w:val="24"/>
          <w:szCs w:val="24"/>
          <w:lang w:val="en-GB"/>
        </w:rPr>
        <w:t>.</w:t>
      </w:r>
    </w:p>
    <w:p w14:paraId="0DB3B74C" w14:textId="3171D81C" w:rsidR="00FE1085" w:rsidRDefault="00FE1085" w:rsidP="00A648FD">
      <w:pPr>
        <w:spacing w:line="360" w:lineRule="auto"/>
        <w:jc w:val="both"/>
        <w:rPr>
          <w:rFonts w:ascii="Times New Roman" w:hAnsi="Times New Roman" w:cs="Times New Roman"/>
          <w:sz w:val="24"/>
          <w:szCs w:val="24"/>
        </w:rPr>
      </w:pPr>
      <w:r w:rsidRPr="00FE1085">
        <w:rPr>
          <w:rFonts w:ascii="Times New Roman" w:hAnsi="Times New Roman" w:cs="Times New Roman"/>
          <w:sz w:val="24"/>
          <w:szCs w:val="24"/>
        </w:rPr>
        <w:t>Although positive matrix factorization is a widely accepted receptor modelling technique for source apportionment in air quality domain, but owing to its inbuilt limitations there exists a considerable scope in enhancement of the model features and its consequent application</w:t>
      </w:r>
      <w:r>
        <w:rPr>
          <w:rFonts w:ascii="Times New Roman" w:hAnsi="Times New Roman" w:cs="Times New Roman"/>
          <w:sz w:val="24"/>
          <w:szCs w:val="24"/>
        </w:rPr>
        <w:t xml:space="preserve"> also</w:t>
      </w:r>
      <w:r w:rsidRPr="00FE1085">
        <w:rPr>
          <w:rFonts w:ascii="Times New Roman" w:hAnsi="Times New Roman" w:cs="Times New Roman"/>
          <w:sz w:val="24"/>
          <w:szCs w:val="24"/>
        </w:rPr>
        <w:t>. The foundational assumption of receptor models which rules out the possibility of any chemical reaction from source to the receptor site needs attention and opens up a new direction towards the improvement of model and model performance. Inability to clearly separate covariant pollution sources is another shortcoming of the PMF model that needs proper addressal and more research. Subjectivity involved in the initialization of PMF model and interpretation of the model factors is also one of the critical research areas for future work. The impact of the distinct seasonal behaviour on model results is explained in great depth in this thesis work, hence it is recommended that receptor modelling be performed with smaller datasets and different seasons of the year be assessed separately to achieve clean model source factors and factor segregation nearest to the best possible real pollution sources.</w:t>
      </w:r>
    </w:p>
    <w:p w14:paraId="6ABDBB6A" w14:textId="653064AC" w:rsidR="00FE1085" w:rsidRPr="00E23113" w:rsidRDefault="00680B38" w:rsidP="00FE1085">
      <w:pPr>
        <w:spacing w:line="360" w:lineRule="auto"/>
        <w:jc w:val="both"/>
        <w:rPr>
          <w:rFonts w:ascii="Times New Roman" w:hAnsi="Times New Roman" w:cs="Times New Roman"/>
          <w:sz w:val="24"/>
          <w:szCs w:val="24"/>
        </w:rPr>
      </w:pPr>
      <w:r>
        <w:rPr>
          <w:rFonts w:ascii="Times New Roman" w:hAnsi="Times New Roman" w:cs="Times New Roman"/>
          <w:sz w:val="24"/>
          <w:szCs w:val="24"/>
        </w:rPr>
        <w:t>Overall, t</w:t>
      </w:r>
      <w:r w:rsidR="008461F4">
        <w:rPr>
          <w:rFonts w:ascii="Times New Roman" w:hAnsi="Times New Roman" w:cs="Times New Roman"/>
          <w:sz w:val="24"/>
          <w:szCs w:val="24"/>
        </w:rPr>
        <w:t xml:space="preserve">his </w:t>
      </w:r>
      <w:r>
        <w:rPr>
          <w:rFonts w:ascii="Times New Roman" w:hAnsi="Times New Roman" w:cs="Times New Roman"/>
          <w:sz w:val="24"/>
          <w:szCs w:val="24"/>
        </w:rPr>
        <w:t>thesis work</w:t>
      </w:r>
      <w:r w:rsidR="008461F4">
        <w:rPr>
          <w:rFonts w:ascii="Times New Roman" w:hAnsi="Times New Roman" w:cs="Times New Roman"/>
          <w:sz w:val="24"/>
          <w:szCs w:val="24"/>
        </w:rPr>
        <w:t xml:space="preserve"> has resulted in establishing a validated source receptor modelling methodology</w:t>
      </w:r>
      <w:r w:rsidR="00432310">
        <w:rPr>
          <w:rFonts w:ascii="Times New Roman" w:hAnsi="Times New Roman" w:cs="Times New Roman"/>
          <w:sz w:val="24"/>
          <w:szCs w:val="24"/>
        </w:rPr>
        <w:t>.</w:t>
      </w:r>
      <w:r w:rsidR="008461F4">
        <w:rPr>
          <w:rFonts w:ascii="Times New Roman" w:hAnsi="Times New Roman" w:cs="Times New Roman"/>
          <w:sz w:val="24"/>
          <w:szCs w:val="24"/>
        </w:rPr>
        <w:t xml:space="preserve"> </w:t>
      </w:r>
      <w:r w:rsidR="00432310">
        <w:rPr>
          <w:rFonts w:ascii="Times New Roman" w:hAnsi="Times New Roman" w:cs="Times New Roman"/>
          <w:sz w:val="24"/>
          <w:szCs w:val="24"/>
        </w:rPr>
        <w:t>It underlined</w:t>
      </w:r>
      <w:r w:rsidR="00A648FD" w:rsidRPr="00E66FEA">
        <w:rPr>
          <w:rFonts w:ascii="Times New Roman" w:hAnsi="Times New Roman" w:cs="Times New Roman"/>
          <w:sz w:val="24"/>
          <w:szCs w:val="24"/>
        </w:rPr>
        <w:t xml:space="preserve"> the </w:t>
      </w:r>
      <w:r w:rsidR="00432310">
        <w:rPr>
          <w:rFonts w:ascii="Times New Roman" w:hAnsi="Times New Roman" w:cs="Times New Roman"/>
          <w:sz w:val="24"/>
          <w:szCs w:val="24"/>
        </w:rPr>
        <w:t>benefits</w:t>
      </w:r>
      <w:r w:rsidR="00A648FD" w:rsidRPr="00E66FEA">
        <w:rPr>
          <w:rFonts w:ascii="Times New Roman" w:hAnsi="Times New Roman" w:cs="Times New Roman"/>
          <w:sz w:val="24"/>
          <w:szCs w:val="24"/>
        </w:rPr>
        <w:t xml:space="preserve"> of using a </w:t>
      </w:r>
      <w:r w:rsidR="00432310">
        <w:rPr>
          <w:rFonts w:ascii="Times New Roman" w:hAnsi="Times New Roman" w:cs="Times New Roman"/>
          <w:sz w:val="24"/>
          <w:szCs w:val="24"/>
        </w:rPr>
        <w:t xml:space="preserve">combination of </w:t>
      </w:r>
      <w:r w:rsidR="00432310" w:rsidRPr="00E66FEA">
        <w:rPr>
          <w:rFonts w:ascii="Times New Roman" w:hAnsi="Times New Roman" w:cs="Times New Roman"/>
          <w:sz w:val="24"/>
          <w:szCs w:val="24"/>
        </w:rPr>
        <w:t>gas phase and particle phase air pollutant’s concentration</w:t>
      </w:r>
      <w:r w:rsidR="00A648FD" w:rsidRPr="00E66FEA">
        <w:rPr>
          <w:rFonts w:ascii="Times New Roman" w:hAnsi="Times New Roman" w:cs="Times New Roman"/>
          <w:sz w:val="24"/>
          <w:szCs w:val="24"/>
        </w:rPr>
        <w:t xml:space="preserve"> data</w:t>
      </w:r>
      <w:r w:rsidR="00432310">
        <w:rPr>
          <w:rFonts w:ascii="Times New Roman" w:hAnsi="Times New Roman" w:cs="Times New Roman"/>
          <w:sz w:val="24"/>
          <w:szCs w:val="24"/>
        </w:rPr>
        <w:t xml:space="preserve"> </w:t>
      </w:r>
      <w:r w:rsidR="00A648FD" w:rsidRPr="00E66FEA">
        <w:rPr>
          <w:rFonts w:ascii="Times New Roman" w:hAnsi="Times New Roman" w:cs="Times New Roman"/>
          <w:sz w:val="24"/>
          <w:szCs w:val="24"/>
        </w:rPr>
        <w:t xml:space="preserve">for better assignment of </w:t>
      </w:r>
      <w:r w:rsidR="00432310">
        <w:rPr>
          <w:rFonts w:ascii="Times New Roman" w:hAnsi="Times New Roman" w:cs="Times New Roman"/>
          <w:sz w:val="24"/>
          <w:szCs w:val="24"/>
        </w:rPr>
        <w:t>actual</w:t>
      </w:r>
      <w:r w:rsidR="00A648FD" w:rsidRPr="00E66FEA">
        <w:rPr>
          <w:rFonts w:ascii="Times New Roman" w:hAnsi="Times New Roman" w:cs="Times New Roman"/>
          <w:sz w:val="24"/>
          <w:szCs w:val="24"/>
        </w:rPr>
        <w:t xml:space="preserve"> pollution sources to the </w:t>
      </w:r>
      <w:r w:rsidR="00432310">
        <w:rPr>
          <w:rFonts w:ascii="Times New Roman" w:hAnsi="Times New Roman" w:cs="Times New Roman"/>
          <w:sz w:val="24"/>
          <w:szCs w:val="24"/>
        </w:rPr>
        <w:t xml:space="preserve">PMF </w:t>
      </w:r>
      <w:r w:rsidR="00A648FD" w:rsidRPr="00E66FEA">
        <w:rPr>
          <w:rFonts w:ascii="Times New Roman" w:hAnsi="Times New Roman" w:cs="Times New Roman"/>
          <w:sz w:val="24"/>
          <w:szCs w:val="24"/>
        </w:rPr>
        <w:t>model</w:t>
      </w:r>
      <w:r w:rsidR="00432310">
        <w:rPr>
          <w:rFonts w:ascii="Times New Roman" w:hAnsi="Times New Roman" w:cs="Times New Roman"/>
          <w:sz w:val="24"/>
          <w:szCs w:val="24"/>
        </w:rPr>
        <w:t xml:space="preserve"> </w:t>
      </w:r>
      <w:r w:rsidR="00A648FD" w:rsidRPr="00E66FEA">
        <w:rPr>
          <w:rFonts w:ascii="Times New Roman" w:hAnsi="Times New Roman" w:cs="Times New Roman"/>
          <w:sz w:val="24"/>
          <w:szCs w:val="24"/>
        </w:rPr>
        <w:t xml:space="preserve">factors. </w:t>
      </w:r>
      <w:r w:rsidR="004613DA">
        <w:rPr>
          <w:rFonts w:ascii="Times New Roman" w:hAnsi="Times New Roman" w:cs="Times New Roman"/>
          <w:sz w:val="24"/>
          <w:szCs w:val="24"/>
        </w:rPr>
        <w:t>Finally, i</w:t>
      </w:r>
      <w:r w:rsidR="00704905">
        <w:rPr>
          <w:rFonts w:ascii="Times New Roman" w:hAnsi="Times New Roman" w:cs="Times New Roman"/>
          <w:sz w:val="24"/>
          <w:szCs w:val="24"/>
        </w:rPr>
        <w:t xml:space="preserve">t also provided </w:t>
      </w:r>
      <w:r w:rsidR="00704905" w:rsidRPr="00E66FEA">
        <w:rPr>
          <w:rFonts w:ascii="Times New Roman" w:hAnsi="Times New Roman" w:cs="Times New Roman"/>
          <w:sz w:val="24"/>
          <w:szCs w:val="24"/>
        </w:rPr>
        <w:t>useful</w:t>
      </w:r>
      <w:r w:rsidR="00704905">
        <w:rPr>
          <w:rFonts w:ascii="Times New Roman" w:hAnsi="Times New Roman" w:cs="Times New Roman"/>
          <w:sz w:val="24"/>
          <w:szCs w:val="24"/>
        </w:rPr>
        <w:t xml:space="preserve"> scientific insights</w:t>
      </w:r>
      <w:r w:rsidR="007E6980">
        <w:rPr>
          <w:rFonts w:ascii="Times New Roman" w:hAnsi="Times New Roman" w:cs="Times New Roman"/>
          <w:sz w:val="24"/>
          <w:szCs w:val="24"/>
        </w:rPr>
        <w:t xml:space="preserve"> to aid the policymakers</w:t>
      </w:r>
      <w:r w:rsidR="00704905">
        <w:rPr>
          <w:rFonts w:ascii="Times New Roman" w:hAnsi="Times New Roman" w:cs="Times New Roman"/>
          <w:sz w:val="24"/>
          <w:szCs w:val="24"/>
        </w:rPr>
        <w:t xml:space="preserve"> </w:t>
      </w:r>
      <w:r w:rsidR="007E6980">
        <w:rPr>
          <w:rFonts w:ascii="Times New Roman" w:hAnsi="Times New Roman" w:cs="Times New Roman"/>
          <w:sz w:val="24"/>
          <w:szCs w:val="24"/>
        </w:rPr>
        <w:t xml:space="preserve">in </w:t>
      </w:r>
      <w:r w:rsidR="008E4284">
        <w:rPr>
          <w:rFonts w:ascii="Times New Roman" w:hAnsi="Times New Roman" w:cs="Times New Roman"/>
          <w:sz w:val="24"/>
          <w:szCs w:val="24"/>
        </w:rPr>
        <w:t>making informed</w:t>
      </w:r>
      <w:r w:rsidR="00704905" w:rsidRPr="00E66FEA">
        <w:rPr>
          <w:rFonts w:ascii="Times New Roman" w:hAnsi="Times New Roman" w:cs="Times New Roman"/>
          <w:sz w:val="24"/>
          <w:szCs w:val="24"/>
        </w:rPr>
        <w:t xml:space="preserve"> air </w:t>
      </w:r>
      <w:r w:rsidR="008E4284">
        <w:rPr>
          <w:rFonts w:ascii="Times New Roman" w:hAnsi="Times New Roman" w:cs="Times New Roman"/>
          <w:sz w:val="24"/>
          <w:szCs w:val="24"/>
        </w:rPr>
        <w:t>quality decisions</w:t>
      </w:r>
      <w:r w:rsidR="00DB4386">
        <w:rPr>
          <w:rFonts w:ascii="Times New Roman" w:hAnsi="Times New Roman" w:cs="Times New Roman"/>
          <w:sz w:val="24"/>
          <w:szCs w:val="24"/>
        </w:rPr>
        <w:t>.</w:t>
      </w:r>
    </w:p>
    <w:p w14:paraId="39472AF7" w14:textId="77777777" w:rsidR="008013B7" w:rsidRDefault="008013B7" w:rsidP="008013B7">
      <w:pPr>
        <w:keepNext/>
        <w:keepLines/>
        <w:spacing w:before="240" w:after="0"/>
        <w:outlineLvl w:val="0"/>
        <w:rPr>
          <w:rFonts w:ascii="Times New Roman" w:eastAsiaTheme="majorEastAsia" w:hAnsi="Times New Roman" w:cs="Times New Roman"/>
          <w:sz w:val="56"/>
          <w:szCs w:val="56"/>
        </w:rPr>
      </w:pPr>
      <w:bookmarkStart w:id="86" w:name="_Toc146809869"/>
      <w:r w:rsidRPr="00F26949">
        <w:rPr>
          <w:rFonts w:ascii="Times New Roman" w:eastAsiaTheme="majorEastAsia" w:hAnsi="Times New Roman" w:cs="Times New Roman"/>
          <w:sz w:val="56"/>
          <w:szCs w:val="56"/>
        </w:rPr>
        <w:lastRenderedPageBreak/>
        <w:t xml:space="preserve">List of </w:t>
      </w:r>
      <w:r>
        <w:rPr>
          <w:rFonts w:ascii="Times New Roman" w:eastAsiaTheme="majorEastAsia" w:hAnsi="Times New Roman" w:cs="Times New Roman"/>
          <w:sz w:val="56"/>
          <w:szCs w:val="56"/>
        </w:rPr>
        <w:t>F</w:t>
      </w:r>
      <w:r w:rsidRPr="00F26949">
        <w:rPr>
          <w:rFonts w:ascii="Times New Roman" w:eastAsiaTheme="majorEastAsia" w:hAnsi="Times New Roman" w:cs="Times New Roman"/>
          <w:sz w:val="56"/>
          <w:szCs w:val="56"/>
        </w:rPr>
        <w:t>igures</w:t>
      </w:r>
      <w:bookmarkEnd w:id="86"/>
    </w:p>
    <w:p w14:paraId="0D628323" w14:textId="77777777" w:rsidR="00727CDA" w:rsidRPr="00F26949" w:rsidRDefault="00727CDA" w:rsidP="008013B7">
      <w:pPr>
        <w:keepNext/>
        <w:keepLines/>
        <w:spacing w:before="240" w:after="0"/>
        <w:outlineLvl w:val="0"/>
        <w:rPr>
          <w:rFonts w:ascii="Times New Roman" w:eastAsiaTheme="majorEastAsia" w:hAnsi="Times New Roman" w:cs="Times New Roman"/>
          <w:sz w:val="56"/>
          <w:szCs w:val="56"/>
        </w:rPr>
      </w:pPr>
    </w:p>
    <w:p w14:paraId="7DA20741" w14:textId="551D4D03" w:rsidR="00727CDA" w:rsidRPr="00727CDA" w:rsidRDefault="00727CDA" w:rsidP="00727CDA">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r w:rsidRPr="00727CDA">
        <w:rPr>
          <w:rFonts w:ascii="Times New Roman" w:eastAsiaTheme="majorEastAsia" w:hAnsi="Times New Roman" w:cs="Times New Roman"/>
          <w:sz w:val="24"/>
          <w:szCs w:val="24"/>
        </w:rPr>
        <w:fldChar w:fldCharType="begin"/>
      </w:r>
      <w:r w:rsidRPr="00727CDA">
        <w:rPr>
          <w:rFonts w:ascii="Times New Roman" w:eastAsiaTheme="majorEastAsia" w:hAnsi="Times New Roman" w:cs="Times New Roman"/>
          <w:sz w:val="24"/>
          <w:szCs w:val="24"/>
        </w:rPr>
        <w:instrText xml:space="preserve"> TOC \h \z \c "Figure 1." </w:instrText>
      </w:r>
      <w:r w:rsidRPr="00727CDA">
        <w:rPr>
          <w:rFonts w:ascii="Times New Roman" w:eastAsiaTheme="majorEastAsia" w:hAnsi="Times New Roman" w:cs="Times New Roman"/>
          <w:sz w:val="24"/>
          <w:szCs w:val="24"/>
        </w:rPr>
        <w:fldChar w:fldCharType="separate"/>
      </w:r>
      <w:hyperlink w:anchor="_Toc133576755" w:history="1">
        <w:r w:rsidRPr="00727CDA">
          <w:rPr>
            <w:rStyle w:val="Hyperlink"/>
            <w:rFonts w:ascii="Times New Roman" w:hAnsi="Times New Roman" w:cs="Times New Roman"/>
            <w:noProof/>
            <w:sz w:val="24"/>
            <w:szCs w:val="24"/>
          </w:rPr>
          <w:t>Figure 1. 1 Different layers within the atmosphere of the Earth and their temperature profiles (Source: https://www.noaa.gov/jetstream/atmosphere/layers-of-atmosphere)</w:t>
        </w:r>
        <w:r w:rsidRPr="00727CDA">
          <w:rPr>
            <w:rFonts w:ascii="Times New Roman" w:hAnsi="Times New Roman" w:cs="Times New Roman"/>
            <w:noProof/>
            <w:webHidden/>
            <w:sz w:val="24"/>
            <w:szCs w:val="24"/>
          </w:rPr>
          <w:tab/>
        </w:r>
        <w:r w:rsidRPr="00727CDA">
          <w:rPr>
            <w:rFonts w:ascii="Times New Roman" w:hAnsi="Times New Roman" w:cs="Times New Roman"/>
            <w:noProof/>
            <w:webHidden/>
            <w:sz w:val="24"/>
            <w:szCs w:val="24"/>
          </w:rPr>
          <w:fldChar w:fldCharType="begin"/>
        </w:r>
        <w:r w:rsidRPr="00727CDA">
          <w:rPr>
            <w:rFonts w:ascii="Times New Roman" w:hAnsi="Times New Roman" w:cs="Times New Roman"/>
            <w:noProof/>
            <w:webHidden/>
            <w:sz w:val="24"/>
            <w:szCs w:val="24"/>
          </w:rPr>
          <w:instrText xml:space="preserve"> PAGEREF _Toc133576755 \h </w:instrText>
        </w:r>
        <w:r w:rsidRPr="00727CDA">
          <w:rPr>
            <w:rFonts w:ascii="Times New Roman" w:hAnsi="Times New Roman" w:cs="Times New Roman"/>
            <w:noProof/>
            <w:webHidden/>
            <w:sz w:val="24"/>
            <w:szCs w:val="24"/>
          </w:rPr>
        </w:r>
        <w:r w:rsidRPr="00727CDA">
          <w:rPr>
            <w:rFonts w:ascii="Times New Roman" w:hAnsi="Times New Roman" w:cs="Times New Roman"/>
            <w:noProof/>
            <w:webHidden/>
            <w:sz w:val="24"/>
            <w:szCs w:val="24"/>
          </w:rPr>
          <w:fldChar w:fldCharType="separate"/>
        </w:r>
        <w:r w:rsidR="0036384D">
          <w:rPr>
            <w:rFonts w:ascii="Times New Roman" w:hAnsi="Times New Roman" w:cs="Times New Roman"/>
            <w:noProof/>
            <w:webHidden/>
            <w:sz w:val="24"/>
            <w:szCs w:val="24"/>
          </w:rPr>
          <w:t>16</w:t>
        </w:r>
        <w:r w:rsidRPr="00727CDA">
          <w:rPr>
            <w:rFonts w:ascii="Times New Roman" w:hAnsi="Times New Roman" w:cs="Times New Roman"/>
            <w:noProof/>
            <w:webHidden/>
            <w:sz w:val="24"/>
            <w:szCs w:val="24"/>
          </w:rPr>
          <w:fldChar w:fldCharType="end"/>
        </w:r>
      </w:hyperlink>
    </w:p>
    <w:p w14:paraId="50F033E0" w14:textId="54E1E232" w:rsidR="00727CDA" w:rsidRPr="00727CDA" w:rsidRDefault="0036384D" w:rsidP="00727CDA">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76757" w:history="1">
        <w:r w:rsidR="00727CDA" w:rsidRPr="00727CDA">
          <w:rPr>
            <w:rStyle w:val="Hyperlink"/>
            <w:rFonts w:ascii="Times New Roman" w:hAnsi="Times New Roman" w:cs="Times New Roman"/>
            <w:noProof/>
            <w:sz w:val="24"/>
            <w:szCs w:val="24"/>
          </w:rPr>
          <w:t xml:space="preserve">Figure 1. </w:t>
        </w:r>
        <w:r w:rsidR="00AE4842">
          <w:rPr>
            <w:rStyle w:val="Hyperlink"/>
            <w:rFonts w:ascii="Times New Roman" w:hAnsi="Times New Roman" w:cs="Times New Roman"/>
            <w:noProof/>
            <w:sz w:val="24"/>
            <w:szCs w:val="24"/>
          </w:rPr>
          <w:t>2</w:t>
        </w:r>
        <w:r w:rsidR="00727CDA" w:rsidRPr="00727CDA">
          <w:rPr>
            <w:rStyle w:val="Hyperlink"/>
            <w:rFonts w:ascii="Times New Roman" w:hAnsi="Times New Roman" w:cs="Times New Roman"/>
            <w:noProof/>
            <w:sz w:val="24"/>
            <w:szCs w:val="24"/>
          </w:rPr>
          <w:t xml:space="preserve"> PM source contributions in major cities of India using statistical modelling and numerical modelling procedures (Garaga et al., 2018).</w:t>
        </w:r>
        <w:r w:rsidR="00727CDA" w:rsidRPr="00727CDA">
          <w:rPr>
            <w:rFonts w:ascii="Times New Roman" w:hAnsi="Times New Roman" w:cs="Times New Roman"/>
            <w:noProof/>
            <w:webHidden/>
            <w:sz w:val="24"/>
            <w:szCs w:val="24"/>
          </w:rPr>
          <w:tab/>
        </w:r>
        <w:r w:rsidR="00727CDA" w:rsidRPr="00727CDA">
          <w:rPr>
            <w:rFonts w:ascii="Times New Roman" w:hAnsi="Times New Roman" w:cs="Times New Roman"/>
            <w:noProof/>
            <w:webHidden/>
            <w:sz w:val="24"/>
            <w:szCs w:val="24"/>
          </w:rPr>
          <w:fldChar w:fldCharType="begin"/>
        </w:r>
        <w:r w:rsidR="00727CDA" w:rsidRPr="00727CDA">
          <w:rPr>
            <w:rFonts w:ascii="Times New Roman" w:hAnsi="Times New Roman" w:cs="Times New Roman"/>
            <w:noProof/>
            <w:webHidden/>
            <w:sz w:val="24"/>
            <w:szCs w:val="24"/>
          </w:rPr>
          <w:instrText xml:space="preserve"> PAGEREF _Toc133576757 \h </w:instrText>
        </w:r>
        <w:r w:rsidR="00727CDA" w:rsidRPr="00727CDA">
          <w:rPr>
            <w:rFonts w:ascii="Times New Roman" w:hAnsi="Times New Roman" w:cs="Times New Roman"/>
            <w:noProof/>
            <w:webHidden/>
            <w:sz w:val="24"/>
            <w:szCs w:val="24"/>
          </w:rPr>
        </w:r>
        <w:r w:rsidR="00727CDA" w:rsidRPr="00727CD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00727CDA" w:rsidRPr="00727CDA">
          <w:rPr>
            <w:rFonts w:ascii="Times New Roman" w:hAnsi="Times New Roman" w:cs="Times New Roman"/>
            <w:noProof/>
            <w:webHidden/>
            <w:sz w:val="24"/>
            <w:szCs w:val="24"/>
          </w:rPr>
          <w:fldChar w:fldCharType="end"/>
        </w:r>
      </w:hyperlink>
    </w:p>
    <w:p w14:paraId="5065FEE2" w14:textId="7F928C90" w:rsidR="00727CDA" w:rsidRPr="00727CDA" w:rsidRDefault="0036384D" w:rsidP="00727CDA">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76759" w:history="1">
        <w:r w:rsidR="00727CDA" w:rsidRPr="00727CDA">
          <w:rPr>
            <w:rStyle w:val="Hyperlink"/>
            <w:rFonts w:ascii="Times New Roman" w:hAnsi="Times New Roman" w:cs="Times New Roman"/>
            <w:noProof/>
            <w:sz w:val="24"/>
            <w:szCs w:val="24"/>
          </w:rPr>
          <w:t xml:space="preserve">Figure 1. </w:t>
        </w:r>
        <w:r w:rsidR="00AE4842">
          <w:rPr>
            <w:rStyle w:val="Hyperlink"/>
            <w:rFonts w:ascii="Times New Roman" w:hAnsi="Times New Roman" w:cs="Times New Roman"/>
            <w:noProof/>
            <w:sz w:val="24"/>
            <w:szCs w:val="24"/>
          </w:rPr>
          <w:t>3</w:t>
        </w:r>
        <w:r w:rsidR="00727CDA" w:rsidRPr="00727CDA">
          <w:rPr>
            <w:rStyle w:val="Hyperlink"/>
            <w:rFonts w:ascii="Times New Roman" w:hAnsi="Times New Roman" w:cs="Times New Roman"/>
            <w:noProof/>
            <w:sz w:val="24"/>
            <w:szCs w:val="24"/>
          </w:rPr>
          <w:t xml:space="preserve"> Schematic diagram representing different methods employed for source apportionment and validation in the thesis.</w:t>
        </w:r>
        <w:r w:rsidR="00727CDA" w:rsidRPr="00727CDA">
          <w:rPr>
            <w:rFonts w:ascii="Times New Roman" w:hAnsi="Times New Roman" w:cs="Times New Roman"/>
            <w:noProof/>
            <w:webHidden/>
            <w:sz w:val="24"/>
            <w:szCs w:val="24"/>
          </w:rPr>
          <w:tab/>
        </w:r>
        <w:r w:rsidR="00727CDA" w:rsidRPr="00727CDA">
          <w:rPr>
            <w:rFonts w:ascii="Times New Roman" w:hAnsi="Times New Roman" w:cs="Times New Roman"/>
            <w:noProof/>
            <w:webHidden/>
            <w:sz w:val="24"/>
            <w:szCs w:val="24"/>
          </w:rPr>
          <w:fldChar w:fldCharType="begin"/>
        </w:r>
        <w:r w:rsidR="00727CDA" w:rsidRPr="00727CDA">
          <w:rPr>
            <w:rFonts w:ascii="Times New Roman" w:hAnsi="Times New Roman" w:cs="Times New Roman"/>
            <w:noProof/>
            <w:webHidden/>
            <w:sz w:val="24"/>
            <w:szCs w:val="24"/>
          </w:rPr>
          <w:instrText xml:space="preserve"> PAGEREF _Toc133576759 \h </w:instrText>
        </w:r>
        <w:r w:rsidR="00727CDA" w:rsidRPr="00727CDA">
          <w:rPr>
            <w:rFonts w:ascii="Times New Roman" w:hAnsi="Times New Roman" w:cs="Times New Roman"/>
            <w:noProof/>
            <w:webHidden/>
            <w:sz w:val="24"/>
            <w:szCs w:val="24"/>
          </w:rPr>
        </w:r>
        <w:r w:rsidR="00727CDA" w:rsidRPr="00727CD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sidR="00727CDA" w:rsidRPr="00727CDA">
          <w:rPr>
            <w:rFonts w:ascii="Times New Roman" w:hAnsi="Times New Roman" w:cs="Times New Roman"/>
            <w:noProof/>
            <w:webHidden/>
            <w:sz w:val="24"/>
            <w:szCs w:val="24"/>
          </w:rPr>
          <w:fldChar w:fldCharType="end"/>
        </w:r>
      </w:hyperlink>
    </w:p>
    <w:p w14:paraId="005FF6D5" w14:textId="77777777" w:rsidR="00727CDA" w:rsidRPr="00727CDA" w:rsidRDefault="00727CDA" w:rsidP="00727CDA">
      <w:pPr>
        <w:keepNext/>
        <w:keepLines/>
        <w:spacing w:after="0" w:line="24" w:lineRule="auto"/>
        <w:outlineLvl w:val="0"/>
        <w:rPr>
          <w:rFonts w:ascii="Times New Roman" w:hAnsi="Times New Roman" w:cs="Times New Roman"/>
          <w:noProof/>
          <w:sz w:val="24"/>
          <w:szCs w:val="24"/>
        </w:rPr>
      </w:pPr>
      <w:r w:rsidRPr="00727CDA">
        <w:rPr>
          <w:rFonts w:ascii="Times New Roman" w:eastAsiaTheme="majorEastAsia" w:hAnsi="Times New Roman" w:cs="Times New Roman"/>
          <w:sz w:val="24"/>
          <w:szCs w:val="24"/>
        </w:rPr>
        <w:fldChar w:fldCharType="end"/>
      </w:r>
      <w:r w:rsidRPr="00727CDA">
        <w:rPr>
          <w:rFonts w:ascii="Times New Roman" w:eastAsiaTheme="majorEastAsia" w:hAnsi="Times New Roman" w:cs="Times New Roman"/>
          <w:sz w:val="24"/>
          <w:szCs w:val="24"/>
        </w:rPr>
        <w:fldChar w:fldCharType="begin"/>
      </w:r>
      <w:r w:rsidRPr="00727CDA">
        <w:rPr>
          <w:rFonts w:ascii="Times New Roman" w:eastAsiaTheme="majorEastAsia" w:hAnsi="Times New Roman" w:cs="Times New Roman"/>
          <w:sz w:val="24"/>
          <w:szCs w:val="24"/>
        </w:rPr>
        <w:instrText xml:space="preserve"> TOC \h \z \c "Figure 2." </w:instrText>
      </w:r>
      <w:r w:rsidRPr="00727CDA">
        <w:rPr>
          <w:rFonts w:ascii="Times New Roman" w:eastAsiaTheme="majorEastAsia" w:hAnsi="Times New Roman" w:cs="Times New Roman"/>
          <w:sz w:val="24"/>
          <w:szCs w:val="24"/>
        </w:rPr>
        <w:fldChar w:fldCharType="separate"/>
      </w:r>
    </w:p>
    <w:p w14:paraId="53A9EB94" w14:textId="77777777" w:rsidR="0074268E" w:rsidRPr="0074268E" w:rsidRDefault="00727CDA" w:rsidP="0074268E">
      <w:pPr>
        <w:keepNext/>
        <w:keepLines/>
        <w:spacing w:after="0" w:line="24" w:lineRule="auto"/>
        <w:jc w:val="both"/>
        <w:outlineLvl w:val="0"/>
        <w:rPr>
          <w:rFonts w:ascii="Times New Roman" w:hAnsi="Times New Roman" w:cs="Times New Roman"/>
          <w:noProof/>
          <w:sz w:val="24"/>
          <w:szCs w:val="24"/>
        </w:rPr>
      </w:pPr>
      <w:r w:rsidRPr="00727CDA">
        <w:rPr>
          <w:rFonts w:ascii="Times New Roman" w:eastAsiaTheme="majorEastAsia" w:hAnsi="Times New Roman" w:cs="Times New Roman"/>
          <w:sz w:val="24"/>
          <w:szCs w:val="24"/>
        </w:rPr>
        <w:fldChar w:fldCharType="end"/>
      </w:r>
      <w:r w:rsidR="0074268E" w:rsidRPr="0074268E">
        <w:rPr>
          <w:rFonts w:ascii="Times New Roman" w:eastAsiaTheme="majorEastAsia" w:hAnsi="Times New Roman" w:cs="Times New Roman"/>
          <w:sz w:val="24"/>
          <w:szCs w:val="24"/>
        </w:rPr>
        <w:fldChar w:fldCharType="begin"/>
      </w:r>
      <w:r w:rsidR="0074268E" w:rsidRPr="0074268E">
        <w:rPr>
          <w:rFonts w:ascii="Times New Roman" w:eastAsiaTheme="majorEastAsia" w:hAnsi="Times New Roman" w:cs="Times New Roman"/>
          <w:sz w:val="24"/>
          <w:szCs w:val="24"/>
        </w:rPr>
        <w:instrText xml:space="preserve"> TOC \h \z \c "Figure 3." </w:instrText>
      </w:r>
      <w:r w:rsidR="0074268E" w:rsidRPr="0074268E">
        <w:rPr>
          <w:rFonts w:ascii="Times New Roman" w:eastAsiaTheme="majorEastAsia" w:hAnsi="Times New Roman" w:cs="Times New Roman"/>
          <w:sz w:val="24"/>
          <w:szCs w:val="24"/>
        </w:rPr>
        <w:fldChar w:fldCharType="separate"/>
      </w:r>
    </w:p>
    <w:p w14:paraId="38BF77C4" w14:textId="68FA3F5A"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0" w:history="1">
        <w:r w:rsidR="0074268E" w:rsidRPr="0074268E">
          <w:rPr>
            <w:rStyle w:val="Hyperlink"/>
            <w:rFonts w:ascii="Times New Roman" w:hAnsi="Times New Roman" w:cs="Times New Roman"/>
            <w:noProof/>
            <w:sz w:val="24"/>
            <w:szCs w:val="24"/>
          </w:rPr>
          <w:t xml:space="preserve">Figure 3. 1 (a) Mohali, located on the Indian Subcontinent, with the overlaid 72 h air mass back trajectories for May 2012 at 09:00 and 23:00 LT (UTC+5:30) (b) Precise location of IISER-Mohali Atmospheric chemistry facility (30.667 </w:t>
        </w:r>
        <w:r w:rsidR="0074268E" w:rsidRPr="0074268E">
          <w:rPr>
            <w:rStyle w:val="Hyperlink"/>
            <w:rFonts w:ascii="Times New Roman" w:eastAsia="Yu Gothic UI Light" w:hAnsi="Times New Roman" w:cs="Times New Roman"/>
            <w:noProof/>
            <w:sz w:val="24"/>
            <w:szCs w:val="24"/>
          </w:rPr>
          <w:t>º</w:t>
        </w:r>
        <w:r w:rsidR="0074268E" w:rsidRPr="0074268E">
          <w:rPr>
            <w:rStyle w:val="Hyperlink"/>
            <w:rFonts w:ascii="Times New Roman" w:hAnsi="Times New Roman" w:cs="Times New Roman"/>
            <w:noProof/>
            <w:sz w:val="24"/>
            <w:szCs w:val="24"/>
          </w:rPr>
          <w:t xml:space="preserve"> N, 76.729 </w:t>
        </w:r>
        <w:r w:rsidR="0074268E" w:rsidRPr="0074268E">
          <w:rPr>
            <w:rStyle w:val="Hyperlink"/>
            <w:rFonts w:ascii="Times New Roman" w:eastAsia="Yu Gothic UI Light" w:hAnsi="Times New Roman" w:cs="Times New Roman"/>
            <w:noProof/>
            <w:sz w:val="24"/>
            <w:szCs w:val="24"/>
          </w:rPr>
          <w:t>º</w:t>
        </w:r>
        <w:r w:rsidR="0074268E" w:rsidRPr="0074268E">
          <w:rPr>
            <w:rStyle w:val="Hyperlink"/>
            <w:rFonts w:ascii="Times New Roman" w:hAnsi="Times New Roman" w:cs="Times New Roman"/>
            <w:noProof/>
            <w:sz w:val="24"/>
            <w:szCs w:val="24"/>
          </w:rPr>
          <w:t xml:space="preserve"> E, 310 m above mean sea level, a.m.s.l.) with nearby cities on Google Earth© imagery. The campus of IISER Mohali is outlined in white.</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_Toc133577920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74268E" w:rsidRPr="0074268E">
          <w:rPr>
            <w:rFonts w:ascii="Times New Roman" w:hAnsi="Times New Roman" w:cs="Times New Roman"/>
            <w:noProof/>
            <w:webHidden/>
            <w:sz w:val="24"/>
            <w:szCs w:val="24"/>
          </w:rPr>
          <w:fldChar w:fldCharType="end"/>
        </w:r>
      </w:hyperlink>
    </w:p>
    <w:p w14:paraId="24625C5E" w14:textId="0DC5084B"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1" w:history="1">
        <w:r w:rsidR="0074268E" w:rsidRPr="0074268E">
          <w:rPr>
            <w:rStyle w:val="Hyperlink"/>
            <w:rFonts w:ascii="Times New Roman" w:hAnsi="Times New Roman" w:cs="Times New Roman"/>
            <w:noProof/>
            <w:sz w:val="24"/>
            <w:szCs w:val="24"/>
          </w:rPr>
          <w:t>Figure 3. 2 Percentage contribution assignment for various PMF factor number solutions (3–7) to the corresponding VOC emission sources.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_Toc133577921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74268E" w:rsidRPr="0074268E">
          <w:rPr>
            <w:rFonts w:ascii="Times New Roman" w:hAnsi="Times New Roman" w:cs="Times New Roman"/>
            <w:noProof/>
            <w:webHidden/>
            <w:sz w:val="24"/>
            <w:szCs w:val="24"/>
          </w:rPr>
          <w:fldChar w:fldCharType="end"/>
        </w:r>
      </w:hyperlink>
    </w:p>
    <w:p w14:paraId="6C7E4488" w14:textId="40CDCF18"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2" w:history="1">
        <w:r w:rsidR="0074268E" w:rsidRPr="0074268E">
          <w:rPr>
            <w:rStyle w:val="Hyperlink"/>
            <w:rFonts w:ascii="Times New Roman" w:hAnsi="Times New Roman" w:cs="Times New Roman"/>
            <w:noProof/>
            <w:sz w:val="24"/>
            <w:szCs w:val="24"/>
          </w:rPr>
          <w:t>Figure 3. 3 Figure 3.3.a shows how the concentration of different species in different factor profiles changes with increasing number of factors, while Figure 3.3.b shows how the percentage of each species explained by each of the different factors changes with increasing number of factors. Figure 3.3.c shows the evolution of the factor contribution time series with increasing number of factors.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_Toc133577922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74268E" w:rsidRPr="0074268E">
          <w:rPr>
            <w:rFonts w:ascii="Times New Roman" w:hAnsi="Times New Roman" w:cs="Times New Roman"/>
            <w:noProof/>
            <w:webHidden/>
            <w:sz w:val="24"/>
            <w:szCs w:val="24"/>
          </w:rPr>
          <w:fldChar w:fldCharType="end"/>
        </w:r>
      </w:hyperlink>
    </w:p>
    <w:p w14:paraId="43181310" w14:textId="22DFEE3D"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3" w:history="1">
        <w:r w:rsidR="0074268E" w:rsidRPr="0074268E">
          <w:rPr>
            <w:rStyle w:val="Hyperlink"/>
            <w:rFonts w:ascii="Times New Roman" w:hAnsi="Times New Roman" w:cs="Times New Roman"/>
            <w:noProof/>
            <w:sz w:val="24"/>
            <w:szCs w:val="24"/>
          </w:rPr>
          <w:t>Figure 3. 4 Q/Qexp plot with increasing number of factors. The absolute Q is relatively low indicating that it may be more appropriate to only consider the 10% precision error of the PTR-MS instead of including the accuracy error while specifying the uncertainty in the PMF input. However, since equal uncertainty was applied to all strong m/z this only affects the absolute Q value and not the model output.</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_Toc133577923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74268E" w:rsidRPr="0074268E">
          <w:rPr>
            <w:rFonts w:ascii="Times New Roman" w:hAnsi="Times New Roman" w:cs="Times New Roman"/>
            <w:noProof/>
            <w:webHidden/>
            <w:sz w:val="24"/>
            <w:szCs w:val="24"/>
          </w:rPr>
          <w:fldChar w:fldCharType="end"/>
        </w:r>
      </w:hyperlink>
    </w:p>
    <w:p w14:paraId="0DA017D2" w14:textId="79E770F5"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4" w:history="1">
        <w:r w:rsidR="0074268E" w:rsidRPr="0074268E">
          <w:rPr>
            <w:rStyle w:val="Hyperlink"/>
            <w:rFonts w:ascii="Times New Roman" w:hAnsi="Times New Roman" w:cs="Times New Roman"/>
            <w:noProof/>
            <w:sz w:val="24"/>
            <w:szCs w:val="24"/>
          </w:rPr>
          <w:t xml:space="preserve">Figure 3. 5 Factor profile composition for 6 PMF resolved factors at IISER-Mohali. It displays the normalized source fingerprints of the PMF factors (dark blue) and samples collected at the source (in various colors) in bar-chart form. The value of the normalized species contribution is depicted on the left-hand axis. To facilitate the comparison, factor profiles comprising of the concentration of different species in µg/m³ and emission </w:t>
        </w:r>
        <w:r w:rsidR="0074268E" w:rsidRPr="0074268E">
          <w:rPr>
            <w:rStyle w:val="Hyperlink"/>
            <w:rFonts w:ascii="Times New Roman" w:hAnsi="Times New Roman" w:cs="Times New Roman"/>
            <w:noProof/>
            <w:sz w:val="24"/>
            <w:szCs w:val="24"/>
          </w:rPr>
          <w:lastRenderedPageBreak/>
          <w:t xml:space="preserve">factors reported in g/kg of fuel were normalized using the following equation: </w:t>
        </w:r>
        <w:r w:rsidR="0074268E" w:rsidRPr="0074268E">
          <w:rPr>
            <w:rStyle w:val="Hyperlink"/>
            <w:rFonts w:ascii="Cambria Math" w:hAnsi="Cambria Math" w:cs="Cambria Math"/>
            <w:noProof/>
            <w:sz w:val="24"/>
            <w:szCs w:val="24"/>
          </w:rPr>
          <w:t>𝑥</w:t>
        </w:r>
        <w:r w:rsidR="0074268E" w:rsidRPr="0074268E">
          <w:rPr>
            <w:rStyle w:val="Hyperlink"/>
            <w:rFonts w:ascii="Times New Roman" w:hAnsi="Times New Roman" w:cs="Times New Roman"/>
            <w:noProof/>
            <w:sz w:val="24"/>
            <w:szCs w:val="24"/>
          </w:rPr>
          <w:t xml:space="preserve">′ = </w:t>
        </w:r>
        <w:r w:rsidR="0074268E" w:rsidRPr="0074268E">
          <w:rPr>
            <w:rStyle w:val="Hyperlink"/>
            <w:rFonts w:ascii="Cambria Math" w:hAnsi="Cambria Math" w:cs="Cambria Math"/>
            <w:noProof/>
            <w:sz w:val="24"/>
            <w:szCs w:val="24"/>
          </w:rPr>
          <w:t>𝑥</w:t>
        </w:r>
        <w:r w:rsidR="0074268E" w:rsidRPr="0074268E">
          <w:rPr>
            <w:rStyle w:val="Hyperlink"/>
            <w:rFonts w:ascii="Times New Roman" w:hAnsi="Times New Roman" w:cs="Times New Roman"/>
            <w:noProof/>
            <w:sz w:val="24"/>
            <w:szCs w:val="24"/>
          </w:rPr>
          <w:t xml:space="preserve"> / max(</w:t>
        </w:r>
        <w:r w:rsidR="0074268E" w:rsidRPr="0074268E">
          <w:rPr>
            <w:rStyle w:val="Hyperlink"/>
            <w:rFonts w:ascii="Cambria Math" w:hAnsi="Cambria Math" w:cs="Cambria Math"/>
            <w:noProof/>
            <w:sz w:val="24"/>
            <w:szCs w:val="24"/>
          </w:rPr>
          <w:t>𝑥</w:t>
        </w:r>
        <w:r w:rsidR="0074268E" w:rsidRPr="0074268E">
          <w:rPr>
            <w:rStyle w:val="Hyperlink"/>
            <w:rFonts w:ascii="Times New Roman" w:hAnsi="Times New Roman" w:cs="Times New Roman"/>
            <w:noProof/>
            <w:sz w:val="24"/>
            <w:szCs w:val="24"/>
          </w:rPr>
          <w:t>).</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_Toc133577924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54</w:t>
        </w:r>
        <w:r w:rsidR="0074268E" w:rsidRPr="0074268E">
          <w:rPr>
            <w:rFonts w:ascii="Times New Roman" w:hAnsi="Times New Roman" w:cs="Times New Roman"/>
            <w:noProof/>
            <w:webHidden/>
            <w:sz w:val="24"/>
            <w:szCs w:val="24"/>
          </w:rPr>
          <w:fldChar w:fldCharType="end"/>
        </w:r>
      </w:hyperlink>
    </w:p>
    <w:p w14:paraId="51BE7FF2" w14:textId="7FB864F6"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5" w:history="1">
        <w:r w:rsidR="0074268E" w:rsidRPr="0074268E">
          <w:rPr>
            <w:rStyle w:val="Hyperlink"/>
            <w:rFonts w:ascii="Times New Roman" w:hAnsi="Times New Roman" w:cs="Times New Roman"/>
            <w:noProof/>
            <w:sz w:val="24"/>
            <w:szCs w:val="24"/>
          </w:rPr>
          <w:t>Figure 3. 6 Uncertainty assessment for the 6-factor solution using bootstrap runs.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_Toc133577925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74268E" w:rsidRPr="0074268E">
          <w:rPr>
            <w:rFonts w:ascii="Times New Roman" w:hAnsi="Times New Roman" w:cs="Times New Roman"/>
            <w:noProof/>
            <w:webHidden/>
            <w:sz w:val="24"/>
            <w:szCs w:val="24"/>
          </w:rPr>
          <w:fldChar w:fldCharType="end"/>
        </w:r>
      </w:hyperlink>
    </w:p>
    <w:p w14:paraId="143F4AA6" w14:textId="6AC207AD"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6" w:history="1">
        <w:r w:rsidR="0074268E" w:rsidRPr="0074268E">
          <w:rPr>
            <w:rStyle w:val="Hyperlink"/>
            <w:rFonts w:ascii="Times New Roman" w:hAnsi="Times New Roman" w:cs="Times New Roman"/>
            <w:noProof/>
            <w:sz w:val="24"/>
            <w:szCs w:val="24"/>
          </w:rPr>
          <w:t>Figure 3. 7 REAS database comparison to VOC source sectors on monthly and yearly resolution scales.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_Toc133577926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0074268E" w:rsidRPr="0074268E">
          <w:rPr>
            <w:rFonts w:ascii="Times New Roman" w:hAnsi="Times New Roman" w:cs="Times New Roman"/>
            <w:noProof/>
            <w:webHidden/>
            <w:sz w:val="24"/>
            <w:szCs w:val="24"/>
          </w:rPr>
          <w:fldChar w:fldCharType="end"/>
        </w:r>
      </w:hyperlink>
    </w:p>
    <w:p w14:paraId="5B1F6CB6" w14:textId="05A7AD27"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7" w:history="1">
        <w:r w:rsidR="0074268E" w:rsidRPr="0074268E">
          <w:rPr>
            <w:rStyle w:val="Hyperlink"/>
            <w:rFonts w:ascii="Times New Roman" w:hAnsi="Times New Roman" w:cs="Times New Roman"/>
            <w:noProof/>
            <w:sz w:val="24"/>
            <w:szCs w:val="24"/>
          </w:rPr>
          <w:t>Figure 3. 8 (a) Source contribution to the ambient VOC loading at the receptor site. (b) Ozone formation potential for PMF-derived sources. (c) SOA potential for PMF factors.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_Toc133577927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57</w:t>
        </w:r>
        <w:r w:rsidR="0074268E" w:rsidRPr="0074268E">
          <w:rPr>
            <w:rFonts w:ascii="Times New Roman" w:hAnsi="Times New Roman" w:cs="Times New Roman"/>
            <w:noProof/>
            <w:webHidden/>
            <w:sz w:val="24"/>
            <w:szCs w:val="24"/>
          </w:rPr>
          <w:fldChar w:fldCharType="end"/>
        </w:r>
      </w:hyperlink>
    </w:p>
    <w:p w14:paraId="5F9A7AFA" w14:textId="02AF9F6A"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8" w:history="1">
        <w:r w:rsidR="0074268E" w:rsidRPr="0074268E">
          <w:rPr>
            <w:rStyle w:val="Hyperlink"/>
            <w:rFonts w:ascii="Times New Roman" w:hAnsi="Times New Roman" w:cs="Times New Roman"/>
            <w:noProof/>
            <w:sz w:val="24"/>
            <w:szCs w:val="24"/>
          </w:rPr>
          <w:t>Figure 3. 9</w:t>
        </w:r>
        <w:r w:rsidR="0074268E" w:rsidRPr="0074268E">
          <w:rPr>
            <w:rStyle w:val="Hyperlink"/>
            <w:rFonts w:ascii="Times New Roman" w:hAnsi="Times New Roman" w:cs="Times New Roman"/>
            <w:bCs/>
            <w:noProof/>
            <w:sz w:val="24"/>
            <w:szCs w:val="24"/>
          </w:rPr>
          <w:t xml:space="preserve"> Time series of the total mass contributed by the different sources to the overall VOC mass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_Toc133577928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0074268E" w:rsidRPr="0074268E">
          <w:rPr>
            <w:rFonts w:ascii="Times New Roman" w:hAnsi="Times New Roman" w:cs="Times New Roman"/>
            <w:noProof/>
            <w:webHidden/>
            <w:sz w:val="24"/>
            <w:szCs w:val="24"/>
          </w:rPr>
          <w:fldChar w:fldCharType="end"/>
        </w:r>
      </w:hyperlink>
    </w:p>
    <w:p w14:paraId="446CA223" w14:textId="195B1D51"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29" w:history="1">
        <w:r w:rsidR="0074268E" w:rsidRPr="0074268E">
          <w:rPr>
            <w:rStyle w:val="Hyperlink"/>
            <w:rFonts w:ascii="Times New Roman" w:hAnsi="Times New Roman" w:cs="Times New Roman"/>
            <w:noProof/>
            <w:sz w:val="24"/>
            <w:szCs w:val="24"/>
          </w:rPr>
          <w:t>Figure 3. 10 Factor contribution time series, factor diel variability and CPF plot for PMF factor 1 (biofuel use and waste disposal), PMF factor 2 (wheat-residue burning) and PMF factor 3 (industrial emissions and solvent use) for May 2012. The time series of PMF factor’s hourly mass (in µg m</w:t>
        </w:r>
        <w:r w:rsidR="0074268E" w:rsidRPr="0074268E">
          <w:rPr>
            <w:rStyle w:val="Hyperlink"/>
            <w:rFonts w:ascii="Times New Roman" w:hAnsi="Times New Roman" w:cs="Times New Roman"/>
            <w:noProof/>
            <w:sz w:val="24"/>
            <w:szCs w:val="24"/>
            <w:vertAlign w:val="superscript"/>
          </w:rPr>
          <w:t>−3</w:t>
        </w:r>
        <w:r w:rsidR="0074268E" w:rsidRPr="0074268E">
          <w:rPr>
            <w:rStyle w:val="Hyperlink"/>
            <w:rFonts w:ascii="Times New Roman" w:hAnsi="Times New Roman" w:cs="Times New Roman"/>
            <w:noProof/>
            <w:sz w:val="24"/>
            <w:szCs w:val="24"/>
          </w:rPr>
          <w:t>) is plotted against independent tracer species CO (in ppbv) for the biofuel use and waste disposal factor, daily fire counts for the wheat-residue burning factor and SO2 (in ppbv) for the industrial emission and solvent use factor. The diel box-and-whisker plot shows the statistical parameters of factor’s hourly mass contribution (in µg m</w:t>
        </w:r>
        <w:r w:rsidR="0074268E" w:rsidRPr="0074268E">
          <w:rPr>
            <w:rStyle w:val="Hyperlink"/>
            <w:rFonts w:ascii="Times New Roman" w:hAnsi="Times New Roman" w:cs="Times New Roman"/>
            <w:noProof/>
            <w:sz w:val="24"/>
            <w:szCs w:val="24"/>
            <w:vertAlign w:val="superscript"/>
          </w:rPr>
          <w:t>−3</w:t>
        </w:r>
        <w:r w:rsidR="0074268E" w:rsidRPr="0074268E">
          <w:rPr>
            <w:rStyle w:val="Hyperlink"/>
            <w:rFonts w:ascii="Times New Roman" w:hAnsi="Times New Roman" w:cs="Times New Roman"/>
            <w:noProof/>
            <w:sz w:val="24"/>
            <w:szCs w:val="24"/>
          </w:rPr>
          <w:t>) for every hour of the day plotted against the start time of the hour. The width of the box gives 25th and 75th percentiles, 50th percentile partitions the box; whiskers represent 10th and 90th percentiles of      the dataset and average values are given by solid circles.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_Toc133577929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0074268E" w:rsidRPr="0074268E">
          <w:rPr>
            <w:rFonts w:ascii="Times New Roman" w:hAnsi="Times New Roman" w:cs="Times New Roman"/>
            <w:noProof/>
            <w:webHidden/>
            <w:sz w:val="24"/>
            <w:szCs w:val="24"/>
          </w:rPr>
          <w:fldChar w:fldCharType="end"/>
        </w:r>
      </w:hyperlink>
    </w:p>
    <w:p w14:paraId="1694DFF9" w14:textId="7513D9C2"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0" w:history="1">
        <w:r w:rsidR="0074268E" w:rsidRPr="0074268E">
          <w:rPr>
            <w:rStyle w:val="Hyperlink"/>
            <w:rFonts w:ascii="Times New Roman" w:hAnsi="Times New Roman" w:cs="Times New Roman"/>
            <w:noProof/>
            <w:sz w:val="24"/>
            <w:szCs w:val="24"/>
          </w:rPr>
          <w:t>Figure 3. 11 Contribution of individual PMF-derived source factors to the total mass of different VOCs.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_Toc133577930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0074268E" w:rsidRPr="0074268E">
          <w:rPr>
            <w:rFonts w:ascii="Times New Roman" w:hAnsi="Times New Roman" w:cs="Times New Roman"/>
            <w:noProof/>
            <w:webHidden/>
            <w:sz w:val="24"/>
            <w:szCs w:val="24"/>
          </w:rPr>
          <w:fldChar w:fldCharType="end"/>
        </w:r>
      </w:hyperlink>
    </w:p>
    <w:p w14:paraId="68612354" w14:textId="2F3CBA1F"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1" w:history="1">
        <w:r w:rsidR="0074268E" w:rsidRPr="0074268E">
          <w:rPr>
            <w:rStyle w:val="Hyperlink"/>
            <w:rFonts w:ascii="Times New Roman" w:hAnsi="Times New Roman" w:cs="Times New Roman"/>
            <w:noProof/>
            <w:sz w:val="24"/>
            <w:szCs w:val="24"/>
          </w:rPr>
          <w:t>Figure 3. 12 Comparison of the PMF output with benzene emission inventories for the study region.</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_Toc133577931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0074268E" w:rsidRPr="0074268E">
          <w:rPr>
            <w:rFonts w:ascii="Times New Roman" w:hAnsi="Times New Roman" w:cs="Times New Roman"/>
            <w:noProof/>
            <w:webHidden/>
            <w:sz w:val="24"/>
            <w:szCs w:val="24"/>
          </w:rPr>
          <w:fldChar w:fldCharType="end"/>
        </w:r>
      </w:hyperlink>
    </w:p>
    <w:p w14:paraId="71953F7B" w14:textId="369CF9CA"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2" w:history="1">
        <w:r w:rsidR="0074268E" w:rsidRPr="0074268E">
          <w:rPr>
            <w:rStyle w:val="Hyperlink"/>
            <w:rFonts w:ascii="Times New Roman" w:hAnsi="Times New Roman" w:cs="Times New Roman"/>
            <w:noProof/>
            <w:sz w:val="24"/>
            <w:szCs w:val="24"/>
          </w:rPr>
          <w:t>Figure 3. 13 Factor contribution time series, factor diel variability and CPF plot for PMF factor 4 and factor 5 (cars and two-wheelers) and PMF factor 6 (mixed daytime) for May 2012. The time series of PMF factor’s hourly mass (in µg m</w:t>
        </w:r>
        <w:r w:rsidR="0074268E" w:rsidRPr="0074268E">
          <w:rPr>
            <w:rStyle w:val="Hyperlink"/>
            <w:rFonts w:ascii="Times New Roman" w:hAnsi="Times New Roman" w:cs="Times New Roman"/>
            <w:noProof/>
            <w:sz w:val="24"/>
            <w:szCs w:val="24"/>
            <w:vertAlign w:val="superscript"/>
          </w:rPr>
          <w:t>−3</w:t>
        </w:r>
        <w:r w:rsidR="0074268E" w:rsidRPr="0074268E">
          <w:rPr>
            <w:rStyle w:val="Hyperlink"/>
            <w:rFonts w:ascii="Times New Roman" w:hAnsi="Times New Roman" w:cs="Times New Roman"/>
            <w:noProof/>
            <w:sz w:val="24"/>
            <w:szCs w:val="24"/>
          </w:rPr>
          <w:t>) is plotted against independent tracer species NO</w:t>
        </w:r>
        <w:r w:rsidR="0074268E" w:rsidRPr="0074268E">
          <w:rPr>
            <w:rStyle w:val="Hyperlink"/>
            <w:rFonts w:ascii="Times New Roman" w:hAnsi="Times New Roman" w:cs="Times New Roman"/>
            <w:noProof/>
            <w:sz w:val="24"/>
            <w:szCs w:val="24"/>
            <w:vertAlign w:val="subscript"/>
          </w:rPr>
          <w:t>y</w:t>
        </w:r>
        <w:r w:rsidR="0074268E" w:rsidRPr="0074268E">
          <w:rPr>
            <w:rStyle w:val="Hyperlink"/>
            <w:rFonts w:ascii="Times New Roman" w:hAnsi="Times New Roman" w:cs="Times New Roman"/>
            <w:noProof/>
            <w:sz w:val="24"/>
            <w:szCs w:val="24"/>
          </w:rPr>
          <w:t xml:space="preserve"> (in ppbv) for the car and two-wheeler factor and O3 (in ppbv) for the mixed daytime factor. The diel box-and-whisker plot shows the statistical parameters of factor’s hourly mass contribution (in µg m</w:t>
        </w:r>
        <w:r w:rsidR="0074268E" w:rsidRPr="0074268E">
          <w:rPr>
            <w:rStyle w:val="Hyperlink"/>
            <w:rFonts w:ascii="Times New Roman" w:hAnsi="Times New Roman" w:cs="Times New Roman"/>
            <w:noProof/>
            <w:sz w:val="24"/>
            <w:szCs w:val="24"/>
            <w:vertAlign w:val="superscript"/>
          </w:rPr>
          <w:t>−3</w:t>
        </w:r>
        <w:r w:rsidR="0074268E" w:rsidRPr="0074268E">
          <w:rPr>
            <w:rStyle w:val="Hyperlink"/>
            <w:rFonts w:ascii="Times New Roman" w:hAnsi="Times New Roman" w:cs="Times New Roman"/>
            <w:noProof/>
            <w:sz w:val="24"/>
            <w:szCs w:val="24"/>
          </w:rPr>
          <w:t>) for every hour of the day plotted against the start time of the hour. The width of the box gives 25th and 75th percentiles, 50th percentile partitions the box; whiskers represent 10th and 90th percentiles of the dataset and average values are given by solid circles.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_Toc133577932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0074268E" w:rsidRPr="0074268E">
          <w:rPr>
            <w:rFonts w:ascii="Times New Roman" w:hAnsi="Times New Roman" w:cs="Times New Roman"/>
            <w:noProof/>
            <w:webHidden/>
            <w:sz w:val="24"/>
            <w:szCs w:val="24"/>
          </w:rPr>
          <w:fldChar w:fldCharType="end"/>
        </w:r>
      </w:hyperlink>
    </w:p>
    <w:p w14:paraId="05B13617" w14:textId="69F2DCF5"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3" w:history="1">
        <w:r w:rsidR="0074268E" w:rsidRPr="0074268E">
          <w:rPr>
            <w:rStyle w:val="Hyperlink"/>
            <w:rFonts w:ascii="Times New Roman" w:hAnsi="Times New Roman" w:cs="Times New Roman"/>
            <w:noProof/>
            <w:sz w:val="24"/>
            <w:szCs w:val="24"/>
          </w:rPr>
          <w:t>Figure 3. 14 Comparison of the PMF output with toluene emission inventories for the study region.</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_Toc133577933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74268E" w:rsidRPr="0074268E">
          <w:rPr>
            <w:rFonts w:ascii="Times New Roman" w:hAnsi="Times New Roman" w:cs="Times New Roman"/>
            <w:noProof/>
            <w:webHidden/>
            <w:sz w:val="24"/>
            <w:szCs w:val="24"/>
          </w:rPr>
          <w:fldChar w:fldCharType="end"/>
        </w:r>
      </w:hyperlink>
    </w:p>
    <w:p w14:paraId="7A74D31D" w14:textId="7BD96BE6"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4" w:history="1">
        <w:r w:rsidR="0074268E" w:rsidRPr="0074268E">
          <w:rPr>
            <w:rStyle w:val="Hyperlink"/>
            <w:rFonts w:ascii="Times New Roman" w:hAnsi="Times New Roman" w:cs="Times New Roman"/>
            <w:noProof/>
            <w:sz w:val="24"/>
            <w:szCs w:val="24"/>
          </w:rPr>
          <w:t>Figure 3. 15 Comparison of the PMF output with xylenes in the emission inventories for the study region.</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_Toc133577934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67</w:t>
        </w:r>
        <w:r w:rsidR="0074268E" w:rsidRPr="0074268E">
          <w:rPr>
            <w:rFonts w:ascii="Times New Roman" w:hAnsi="Times New Roman" w:cs="Times New Roman"/>
            <w:noProof/>
            <w:webHidden/>
            <w:sz w:val="24"/>
            <w:szCs w:val="24"/>
          </w:rPr>
          <w:fldChar w:fldCharType="end"/>
        </w:r>
      </w:hyperlink>
    </w:p>
    <w:p w14:paraId="6ED3F9AA" w14:textId="1D50479A"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5" w:history="1">
        <w:r w:rsidR="0074268E" w:rsidRPr="0074268E">
          <w:rPr>
            <w:rStyle w:val="Hyperlink"/>
            <w:rFonts w:ascii="Times New Roman" w:hAnsi="Times New Roman" w:cs="Times New Roman"/>
            <w:noProof/>
            <w:sz w:val="24"/>
            <w:szCs w:val="24"/>
          </w:rPr>
          <w:t>Figure 3. 16 Comparison of the PMF output of C-9 aromatic compounds with the class “other aromatic compounds” in the emission inventories for the study region.</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_Toc133577935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68</w:t>
        </w:r>
        <w:r w:rsidR="0074268E" w:rsidRPr="0074268E">
          <w:rPr>
            <w:rFonts w:ascii="Times New Roman" w:hAnsi="Times New Roman" w:cs="Times New Roman"/>
            <w:noProof/>
            <w:webHidden/>
            <w:sz w:val="24"/>
            <w:szCs w:val="24"/>
          </w:rPr>
          <w:fldChar w:fldCharType="end"/>
        </w:r>
      </w:hyperlink>
    </w:p>
    <w:p w14:paraId="551DF1F5" w14:textId="0C7178DC"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36" w:history="1">
        <w:r w:rsidR="0074268E" w:rsidRPr="0074268E">
          <w:rPr>
            <w:rStyle w:val="Hyperlink"/>
            <w:rFonts w:ascii="Times New Roman" w:hAnsi="Times New Roman" w:cs="Times New Roman"/>
            <w:noProof/>
            <w:sz w:val="24"/>
            <w:szCs w:val="24"/>
          </w:rPr>
          <w:t>Figure 3. 17 Comparison of PMF-derived VOC source contribution to the EDGAR, REAS and GAINS Emission Inventory Database.</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_Toc133577936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69</w:t>
        </w:r>
        <w:r w:rsidR="0074268E" w:rsidRPr="0074268E">
          <w:rPr>
            <w:rFonts w:ascii="Times New Roman" w:hAnsi="Times New Roman" w:cs="Times New Roman"/>
            <w:noProof/>
            <w:webHidden/>
            <w:sz w:val="24"/>
            <w:szCs w:val="24"/>
          </w:rPr>
          <w:fldChar w:fldCharType="end"/>
        </w:r>
      </w:hyperlink>
    </w:p>
    <w:p w14:paraId="0D83A1ED" w14:textId="77777777" w:rsidR="0074268E" w:rsidRPr="0074268E" w:rsidRDefault="0074268E" w:rsidP="0074268E">
      <w:pPr>
        <w:keepNext/>
        <w:keepLines/>
        <w:spacing w:after="0" w:line="24" w:lineRule="auto"/>
        <w:jc w:val="both"/>
        <w:outlineLvl w:val="0"/>
        <w:rPr>
          <w:rFonts w:ascii="Times New Roman" w:hAnsi="Times New Roman" w:cs="Times New Roman"/>
          <w:noProof/>
          <w:sz w:val="24"/>
          <w:szCs w:val="24"/>
        </w:rPr>
      </w:pPr>
      <w:r w:rsidRPr="0074268E">
        <w:rPr>
          <w:rFonts w:ascii="Times New Roman" w:eastAsiaTheme="majorEastAsia" w:hAnsi="Times New Roman" w:cs="Times New Roman"/>
          <w:sz w:val="24"/>
          <w:szCs w:val="24"/>
        </w:rPr>
        <w:fldChar w:fldCharType="end"/>
      </w:r>
      <w:r w:rsidRPr="0074268E">
        <w:rPr>
          <w:rFonts w:ascii="Times New Roman" w:eastAsiaTheme="majorEastAsia" w:hAnsi="Times New Roman" w:cs="Times New Roman"/>
          <w:sz w:val="24"/>
          <w:szCs w:val="24"/>
        </w:rPr>
        <w:fldChar w:fldCharType="begin"/>
      </w:r>
      <w:r w:rsidRPr="0074268E">
        <w:rPr>
          <w:rFonts w:ascii="Times New Roman" w:eastAsiaTheme="majorEastAsia" w:hAnsi="Times New Roman" w:cs="Times New Roman"/>
          <w:sz w:val="24"/>
          <w:szCs w:val="24"/>
        </w:rPr>
        <w:instrText xml:space="preserve"> TOC \h \z \c "Figure 4." </w:instrText>
      </w:r>
      <w:r w:rsidRPr="0074268E">
        <w:rPr>
          <w:rFonts w:ascii="Times New Roman" w:eastAsiaTheme="majorEastAsia" w:hAnsi="Times New Roman" w:cs="Times New Roman"/>
          <w:sz w:val="24"/>
          <w:szCs w:val="24"/>
        </w:rPr>
        <w:fldChar w:fldCharType="separate"/>
      </w:r>
    </w:p>
    <w:p w14:paraId="0DE7C416" w14:textId="5728B62E"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2" w:history="1">
        <w:r w:rsidR="0074268E" w:rsidRPr="0074268E">
          <w:rPr>
            <w:rStyle w:val="Hyperlink"/>
            <w:rFonts w:ascii="Times New Roman" w:hAnsi="Times New Roman" w:cs="Times New Roman"/>
            <w:noProof/>
            <w:sz w:val="24"/>
            <w:szCs w:val="24"/>
          </w:rPr>
          <w:t>Figure 4. 1 (a) Ambient PM</w:t>
        </w:r>
        <w:r w:rsidR="0074268E" w:rsidRPr="0074268E">
          <w:rPr>
            <w:rStyle w:val="Hyperlink"/>
            <w:rFonts w:ascii="Times New Roman" w:hAnsi="Times New Roman" w:cs="Times New Roman"/>
            <w:noProof/>
            <w:sz w:val="24"/>
            <w:szCs w:val="24"/>
            <w:vertAlign w:val="subscript"/>
          </w:rPr>
          <w:t>10</w:t>
        </w:r>
        <w:r w:rsidR="0074268E" w:rsidRPr="0074268E">
          <w:rPr>
            <w:rStyle w:val="Hyperlink"/>
            <w:rFonts w:ascii="Times New Roman" w:hAnsi="Times New Roman" w:cs="Times New Roman"/>
            <w:noProof/>
            <w:sz w:val="24"/>
            <w:szCs w:val="24"/>
          </w:rPr>
          <w:t xml:space="preserve"> and PM</w:t>
        </w:r>
        <w:r w:rsidR="0074268E" w:rsidRPr="0074268E">
          <w:rPr>
            <w:rStyle w:val="Hyperlink"/>
            <w:rFonts w:ascii="Times New Roman" w:hAnsi="Times New Roman" w:cs="Times New Roman"/>
            <w:noProof/>
            <w:sz w:val="24"/>
            <w:szCs w:val="24"/>
            <w:vertAlign w:val="subscript"/>
          </w:rPr>
          <w:t>2.5</w:t>
        </w:r>
        <w:r w:rsidR="0074268E" w:rsidRPr="0074268E">
          <w:rPr>
            <w:rStyle w:val="Hyperlink"/>
            <w:rFonts w:ascii="Times New Roman" w:hAnsi="Times New Roman" w:cs="Times New Roman"/>
            <w:noProof/>
            <w:sz w:val="24"/>
            <w:szCs w:val="24"/>
          </w:rPr>
          <w:t xml:space="preserve"> concentrations recorded at IISER Mohali campus in May 2012. (b) Time series of meteorological parameters i.e., Temperature and Relative Humidity trends during the study duration.</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_Toc133577942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74268E" w:rsidRPr="0074268E">
          <w:rPr>
            <w:rFonts w:ascii="Times New Roman" w:hAnsi="Times New Roman" w:cs="Times New Roman"/>
            <w:noProof/>
            <w:webHidden/>
            <w:sz w:val="24"/>
            <w:szCs w:val="24"/>
          </w:rPr>
          <w:fldChar w:fldCharType="end"/>
        </w:r>
      </w:hyperlink>
    </w:p>
    <w:p w14:paraId="0F5A424F" w14:textId="2777D7A7"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3" w:history="1">
        <w:r w:rsidR="0074268E" w:rsidRPr="0074268E">
          <w:rPr>
            <w:rStyle w:val="Hyperlink"/>
            <w:rFonts w:ascii="Times New Roman" w:hAnsi="Times New Roman" w:cs="Times New Roman"/>
            <w:noProof/>
            <w:sz w:val="24"/>
            <w:szCs w:val="24"/>
          </w:rPr>
          <w:t>Figure 4. 2 (a) Location of Mohali in Northern Plains of India (b) Location of IISER-Mohali Atmospheric Chemistry facility (black dot) along with major nearby cities (©OpenStreetMap contributors) (c) Distribution of wind direction and wind speeds at IISER Mohali campus in May 2012 depicted by a wind rose plot.</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_Toc133577943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77</w:t>
        </w:r>
        <w:r w:rsidR="0074268E" w:rsidRPr="0074268E">
          <w:rPr>
            <w:rFonts w:ascii="Times New Roman" w:hAnsi="Times New Roman" w:cs="Times New Roman"/>
            <w:noProof/>
            <w:webHidden/>
            <w:sz w:val="24"/>
            <w:szCs w:val="24"/>
          </w:rPr>
          <w:fldChar w:fldCharType="end"/>
        </w:r>
      </w:hyperlink>
    </w:p>
    <w:p w14:paraId="14AE7AA9" w14:textId="76CD3DB5"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4" w:history="1">
        <w:r w:rsidR="0074268E" w:rsidRPr="0074268E">
          <w:rPr>
            <w:rStyle w:val="Hyperlink"/>
            <w:rFonts w:ascii="Times New Roman" w:hAnsi="Times New Roman" w:cs="Times New Roman"/>
            <w:noProof/>
            <w:sz w:val="24"/>
            <w:szCs w:val="24"/>
          </w:rPr>
          <w:t>Figure 4. 3 Bar chart showing normalised experimental source profiles and PMF extracted factor profiles per VOC species on left axis. Right axis gives the percentage explained by each of the VOCs in the PMF model output factors.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_Toc133577944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85</w:t>
        </w:r>
        <w:r w:rsidR="0074268E" w:rsidRPr="0074268E">
          <w:rPr>
            <w:rFonts w:ascii="Times New Roman" w:hAnsi="Times New Roman" w:cs="Times New Roman"/>
            <w:noProof/>
            <w:webHidden/>
            <w:sz w:val="24"/>
            <w:szCs w:val="24"/>
          </w:rPr>
          <w:fldChar w:fldCharType="end"/>
        </w:r>
      </w:hyperlink>
    </w:p>
    <w:p w14:paraId="04A47473" w14:textId="3AA15260"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5" w:history="1">
        <w:r w:rsidR="0074268E" w:rsidRPr="0074268E">
          <w:rPr>
            <w:rStyle w:val="Hyperlink"/>
            <w:rFonts w:ascii="Times New Roman" w:hAnsi="Times New Roman" w:cs="Times New Roman"/>
            <w:noProof/>
            <w:sz w:val="24"/>
            <w:szCs w:val="24"/>
          </w:rPr>
          <w:t>Figure 4. 4 Correlation between PMF model estimates and observed PM mass concentrations.</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_Toc133577945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86</w:t>
        </w:r>
        <w:r w:rsidR="0074268E" w:rsidRPr="0074268E">
          <w:rPr>
            <w:rFonts w:ascii="Times New Roman" w:hAnsi="Times New Roman" w:cs="Times New Roman"/>
            <w:noProof/>
            <w:webHidden/>
            <w:sz w:val="24"/>
            <w:szCs w:val="24"/>
          </w:rPr>
          <w:fldChar w:fldCharType="end"/>
        </w:r>
      </w:hyperlink>
    </w:p>
    <w:p w14:paraId="34140518" w14:textId="4FBB058E"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6" w:history="1">
        <w:r w:rsidR="0074268E" w:rsidRPr="0074268E">
          <w:rPr>
            <w:rStyle w:val="Hyperlink"/>
            <w:rFonts w:ascii="Times New Roman" w:hAnsi="Times New Roman" w:cs="Times New Roman"/>
            <w:noProof/>
            <w:sz w:val="24"/>
            <w:szCs w:val="24"/>
          </w:rPr>
          <w:t>Figure 4. 5 Factor profile composition in terms of VOCs and PM apportioned by the PMF model to the dust factor.</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_Toc133577946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89</w:t>
        </w:r>
        <w:r w:rsidR="0074268E" w:rsidRPr="0074268E">
          <w:rPr>
            <w:rFonts w:ascii="Times New Roman" w:hAnsi="Times New Roman" w:cs="Times New Roman"/>
            <w:noProof/>
            <w:webHidden/>
            <w:sz w:val="24"/>
            <w:szCs w:val="24"/>
          </w:rPr>
          <w:fldChar w:fldCharType="end"/>
        </w:r>
      </w:hyperlink>
    </w:p>
    <w:p w14:paraId="7F142EB9" w14:textId="71DF4F83"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7" w:history="1">
        <w:r w:rsidR="0074268E" w:rsidRPr="0074268E">
          <w:rPr>
            <w:rStyle w:val="Hyperlink"/>
            <w:rFonts w:ascii="Times New Roman" w:hAnsi="Times New Roman" w:cs="Times New Roman"/>
            <w:noProof/>
            <w:sz w:val="24"/>
            <w:szCs w:val="24"/>
          </w:rPr>
          <w:t>Figure 4. 6 PM</w:t>
        </w:r>
        <w:r w:rsidR="0074268E" w:rsidRPr="0074268E">
          <w:rPr>
            <w:rStyle w:val="Hyperlink"/>
            <w:rFonts w:ascii="Times New Roman" w:hAnsi="Times New Roman" w:cs="Times New Roman"/>
            <w:noProof/>
            <w:sz w:val="24"/>
            <w:szCs w:val="24"/>
            <w:vertAlign w:val="subscript"/>
          </w:rPr>
          <w:t>10</w:t>
        </w:r>
        <w:r w:rsidR="0074268E" w:rsidRPr="0074268E">
          <w:rPr>
            <w:rStyle w:val="Hyperlink"/>
            <w:rFonts w:ascii="Times New Roman" w:hAnsi="Times New Roman" w:cs="Times New Roman"/>
            <w:noProof/>
            <w:sz w:val="24"/>
            <w:szCs w:val="24"/>
          </w:rPr>
          <w:t xml:space="preserve"> and PM</w:t>
        </w:r>
        <w:r w:rsidR="0074268E" w:rsidRPr="0074268E">
          <w:rPr>
            <w:rStyle w:val="Hyperlink"/>
            <w:rFonts w:ascii="Times New Roman" w:hAnsi="Times New Roman" w:cs="Times New Roman"/>
            <w:noProof/>
            <w:sz w:val="24"/>
            <w:szCs w:val="24"/>
            <w:vertAlign w:val="subscript"/>
          </w:rPr>
          <w:t>2.5</w:t>
        </w:r>
        <w:r w:rsidR="0074268E" w:rsidRPr="0074268E">
          <w:rPr>
            <w:rStyle w:val="Hyperlink"/>
            <w:rFonts w:ascii="Times New Roman" w:hAnsi="Times New Roman" w:cs="Times New Roman"/>
            <w:noProof/>
            <w:sz w:val="24"/>
            <w:szCs w:val="24"/>
          </w:rPr>
          <w:t xml:space="preserve"> time series of PMF derived factor contributions (left panel). Diel box and whisker plots for seven source categories (right panel). Width of the box gives 25th and 75th percentiles, 50th percentile/median partitions the box; data averages are given by solid circles and whiskers represent 10th and 90th percentiles of the dataset.</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_Toc133577947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91</w:t>
        </w:r>
        <w:r w:rsidR="0074268E" w:rsidRPr="0074268E">
          <w:rPr>
            <w:rFonts w:ascii="Times New Roman" w:hAnsi="Times New Roman" w:cs="Times New Roman"/>
            <w:noProof/>
            <w:webHidden/>
            <w:sz w:val="24"/>
            <w:szCs w:val="24"/>
          </w:rPr>
          <w:fldChar w:fldCharType="end"/>
        </w:r>
      </w:hyperlink>
    </w:p>
    <w:p w14:paraId="44517A93" w14:textId="044BE4CE"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8" w:history="1">
        <w:r w:rsidR="0074268E" w:rsidRPr="0074268E">
          <w:rPr>
            <w:rStyle w:val="Hyperlink"/>
            <w:rFonts w:ascii="Times New Roman" w:hAnsi="Times New Roman" w:cs="Times New Roman"/>
            <w:noProof/>
            <w:sz w:val="24"/>
            <w:szCs w:val="24"/>
          </w:rPr>
          <w:t>Figure 4. 7 Sources and their relative contributions to the ambient PM</w:t>
        </w:r>
        <w:r w:rsidR="0074268E" w:rsidRPr="0074268E">
          <w:rPr>
            <w:rStyle w:val="Hyperlink"/>
            <w:rFonts w:ascii="Times New Roman" w:hAnsi="Times New Roman" w:cs="Times New Roman"/>
            <w:noProof/>
            <w:sz w:val="24"/>
            <w:szCs w:val="24"/>
            <w:vertAlign w:val="subscript"/>
          </w:rPr>
          <w:t>10</w:t>
        </w:r>
        <w:r w:rsidR="0074268E" w:rsidRPr="0074268E">
          <w:rPr>
            <w:rStyle w:val="Hyperlink"/>
            <w:rFonts w:ascii="Times New Roman" w:hAnsi="Times New Roman" w:cs="Times New Roman"/>
            <w:noProof/>
            <w:sz w:val="24"/>
            <w:szCs w:val="24"/>
          </w:rPr>
          <w:t xml:space="preserve"> and PM</w:t>
        </w:r>
        <w:r w:rsidR="0074268E" w:rsidRPr="0074268E">
          <w:rPr>
            <w:rStyle w:val="Hyperlink"/>
            <w:rFonts w:ascii="Times New Roman" w:hAnsi="Times New Roman" w:cs="Times New Roman"/>
            <w:noProof/>
            <w:sz w:val="24"/>
            <w:szCs w:val="24"/>
            <w:vertAlign w:val="subscript"/>
          </w:rPr>
          <w:t>2.5</w:t>
        </w:r>
        <w:r w:rsidR="0074268E" w:rsidRPr="0074268E">
          <w:rPr>
            <w:rStyle w:val="Hyperlink"/>
            <w:rFonts w:ascii="Times New Roman" w:hAnsi="Times New Roman" w:cs="Times New Roman"/>
            <w:noProof/>
            <w:sz w:val="24"/>
            <w:szCs w:val="24"/>
          </w:rPr>
          <w:t xml:space="preserve"> at the receptor site</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_Toc133577948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92</w:t>
        </w:r>
        <w:r w:rsidR="0074268E" w:rsidRPr="0074268E">
          <w:rPr>
            <w:rFonts w:ascii="Times New Roman" w:hAnsi="Times New Roman" w:cs="Times New Roman"/>
            <w:noProof/>
            <w:webHidden/>
            <w:sz w:val="24"/>
            <w:szCs w:val="24"/>
          </w:rPr>
          <w:fldChar w:fldCharType="end"/>
        </w:r>
      </w:hyperlink>
    </w:p>
    <w:p w14:paraId="04D82D8D" w14:textId="74B97A46"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49" w:history="1">
        <w:r w:rsidR="0074268E" w:rsidRPr="0074268E">
          <w:rPr>
            <w:rStyle w:val="Hyperlink"/>
            <w:rFonts w:ascii="Times New Roman" w:hAnsi="Times New Roman" w:cs="Times New Roman"/>
            <w:noProof/>
            <w:sz w:val="24"/>
            <w:szCs w:val="24"/>
          </w:rPr>
          <w:t>Figure 4. 8 Factor wise contribution to the to the measured PM mass loadings at the receptor site over May 2012.</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_Toc133577949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0074268E" w:rsidRPr="0074268E">
          <w:rPr>
            <w:rFonts w:ascii="Times New Roman" w:hAnsi="Times New Roman" w:cs="Times New Roman"/>
            <w:noProof/>
            <w:webHidden/>
            <w:sz w:val="24"/>
            <w:szCs w:val="24"/>
          </w:rPr>
          <w:fldChar w:fldCharType="end"/>
        </w:r>
      </w:hyperlink>
    </w:p>
    <w:p w14:paraId="74582D05" w14:textId="09A38EF7" w:rsidR="0074268E" w:rsidRPr="0074268E" w:rsidRDefault="0036384D" w:rsidP="0074268E">
      <w:pPr>
        <w:pStyle w:val="TableofFigures"/>
        <w:tabs>
          <w:tab w:val="right" w:leader="dot" w:pos="9016"/>
        </w:tabs>
        <w:spacing w:line="360" w:lineRule="auto"/>
        <w:jc w:val="both"/>
        <w:rPr>
          <w:rFonts w:ascii="Times New Roman" w:eastAsiaTheme="minorEastAsia" w:hAnsi="Times New Roman" w:cs="Times New Roman"/>
          <w:noProof/>
          <w:sz w:val="24"/>
          <w:szCs w:val="24"/>
          <w:lang w:eastAsia="en-IN"/>
        </w:rPr>
      </w:pPr>
      <w:hyperlink w:anchor="_Toc133577950" w:history="1">
        <w:r w:rsidR="0074268E" w:rsidRPr="0074268E">
          <w:rPr>
            <w:rStyle w:val="Hyperlink"/>
            <w:rFonts w:ascii="Times New Roman" w:hAnsi="Times New Roman" w:cs="Times New Roman"/>
            <w:noProof/>
            <w:sz w:val="24"/>
            <w:szCs w:val="24"/>
          </w:rPr>
          <w:t>Figure 4. 9</w:t>
        </w:r>
        <w:r w:rsidR="0074268E" w:rsidRPr="0074268E">
          <w:rPr>
            <w:rStyle w:val="Hyperlink"/>
            <w:rFonts w:ascii="Times New Roman" w:hAnsi="Times New Roman" w:cs="Times New Roman"/>
            <w:bCs/>
            <w:noProof/>
            <w:sz w:val="24"/>
            <w:szCs w:val="24"/>
          </w:rPr>
          <w:t xml:space="preserve"> </w:t>
        </w:r>
        <w:r w:rsidR="0074268E" w:rsidRPr="0074268E">
          <w:rPr>
            <w:rStyle w:val="Hyperlink"/>
            <w:rFonts w:ascii="Times New Roman" w:hAnsi="Times New Roman" w:cs="Times New Roman"/>
            <w:noProof/>
            <w:sz w:val="24"/>
            <w:szCs w:val="24"/>
          </w:rPr>
          <w:t>Average factor contributions to PM</w:t>
        </w:r>
        <w:r w:rsidR="0074268E" w:rsidRPr="0074268E">
          <w:rPr>
            <w:rStyle w:val="Hyperlink"/>
            <w:rFonts w:ascii="Times New Roman" w:hAnsi="Times New Roman" w:cs="Times New Roman"/>
            <w:noProof/>
            <w:sz w:val="24"/>
            <w:szCs w:val="24"/>
            <w:vertAlign w:val="subscript"/>
          </w:rPr>
          <w:t>10</w:t>
        </w:r>
        <w:r w:rsidR="0074268E" w:rsidRPr="0074268E">
          <w:rPr>
            <w:rStyle w:val="Hyperlink"/>
            <w:rFonts w:ascii="Times New Roman" w:hAnsi="Times New Roman" w:cs="Times New Roman"/>
            <w:noProof/>
            <w:sz w:val="24"/>
            <w:szCs w:val="24"/>
          </w:rPr>
          <w:t xml:space="preserve"> and PM</w:t>
        </w:r>
        <w:r w:rsidR="0074268E" w:rsidRPr="0074268E">
          <w:rPr>
            <w:rStyle w:val="Hyperlink"/>
            <w:rFonts w:ascii="Times New Roman" w:hAnsi="Times New Roman" w:cs="Times New Roman"/>
            <w:noProof/>
            <w:sz w:val="24"/>
            <w:szCs w:val="24"/>
            <w:vertAlign w:val="subscript"/>
          </w:rPr>
          <w:t>2.5</w:t>
        </w:r>
        <w:r w:rsidR="0074268E" w:rsidRPr="0074268E">
          <w:rPr>
            <w:rStyle w:val="Hyperlink"/>
            <w:rFonts w:ascii="Times New Roman" w:hAnsi="Times New Roman" w:cs="Times New Roman"/>
            <w:noProof/>
            <w:sz w:val="24"/>
            <w:szCs w:val="24"/>
          </w:rPr>
          <w:t xml:space="preserve"> at hourly intervals of the day (00:00-23:00 LT).</w:t>
        </w:r>
        <w:r w:rsidR="0074268E" w:rsidRPr="0074268E">
          <w:rPr>
            <w:rFonts w:ascii="Times New Roman" w:hAnsi="Times New Roman" w:cs="Times New Roman"/>
            <w:noProof/>
            <w:webHidden/>
            <w:sz w:val="24"/>
            <w:szCs w:val="24"/>
          </w:rPr>
          <w:tab/>
        </w:r>
        <w:r w:rsidR="0074268E" w:rsidRPr="0074268E">
          <w:rPr>
            <w:rFonts w:ascii="Times New Roman" w:hAnsi="Times New Roman" w:cs="Times New Roman"/>
            <w:noProof/>
            <w:webHidden/>
            <w:sz w:val="24"/>
            <w:szCs w:val="24"/>
          </w:rPr>
          <w:fldChar w:fldCharType="begin"/>
        </w:r>
        <w:r w:rsidR="0074268E" w:rsidRPr="0074268E">
          <w:rPr>
            <w:rFonts w:ascii="Times New Roman" w:hAnsi="Times New Roman" w:cs="Times New Roman"/>
            <w:noProof/>
            <w:webHidden/>
            <w:sz w:val="24"/>
            <w:szCs w:val="24"/>
          </w:rPr>
          <w:instrText xml:space="preserve"> PAGEREF _Toc133577950 \h </w:instrText>
        </w:r>
        <w:r w:rsidR="0074268E" w:rsidRPr="0074268E">
          <w:rPr>
            <w:rFonts w:ascii="Times New Roman" w:hAnsi="Times New Roman" w:cs="Times New Roman"/>
            <w:noProof/>
            <w:webHidden/>
            <w:sz w:val="24"/>
            <w:szCs w:val="24"/>
          </w:rPr>
        </w:r>
        <w:r w:rsidR="0074268E" w:rsidRPr="0074268E">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94</w:t>
        </w:r>
        <w:r w:rsidR="0074268E" w:rsidRPr="0074268E">
          <w:rPr>
            <w:rFonts w:ascii="Times New Roman" w:hAnsi="Times New Roman" w:cs="Times New Roman"/>
            <w:noProof/>
            <w:webHidden/>
            <w:sz w:val="24"/>
            <w:szCs w:val="24"/>
          </w:rPr>
          <w:fldChar w:fldCharType="end"/>
        </w:r>
      </w:hyperlink>
    </w:p>
    <w:p w14:paraId="02F28A89" w14:textId="44CAFA21" w:rsidR="002D26AF" w:rsidRPr="00D47E95" w:rsidRDefault="0074268E" w:rsidP="00D47E95">
      <w:pPr>
        <w:keepNext/>
        <w:keepLines/>
        <w:spacing w:before="240" w:after="0" w:line="360" w:lineRule="auto"/>
        <w:outlineLvl w:val="0"/>
        <w:rPr>
          <w:rFonts w:ascii="Times New Roman" w:eastAsiaTheme="majorEastAsia" w:hAnsi="Times New Roman" w:cs="Times New Roman"/>
          <w:sz w:val="24"/>
          <w:szCs w:val="24"/>
        </w:rPr>
      </w:pPr>
      <w:r w:rsidRPr="0074268E">
        <w:rPr>
          <w:rFonts w:ascii="Times New Roman" w:eastAsiaTheme="majorEastAsia" w:hAnsi="Times New Roman" w:cs="Times New Roman"/>
          <w:sz w:val="24"/>
          <w:szCs w:val="24"/>
        </w:rPr>
        <w:lastRenderedPageBreak/>
        <w:fldChar w:fldCharType="end"/>
      </w:r>
      <w:bookmarkStart w:id="87" w:name="_Toc146809870"/>
      <w:r w:rsidR="002D26AF" w:rsidRPr="00F26949">
        <w:rPr>
          <w:rFonts w:ascii="Times New Roman" w:eastAsiaTheme="majorEastAsia" w:hAnsi="Times New Roman" w:cs="Times New Roman"/>
          <w:sz w:val="56"/>
          <w:szCs w:val="56"/>
        </w:rPr>
        <w:t xml:space="preserve">List of </w:t>
      </w:r>
      <w:r w:rsidR="008D14A1">
        <w:rPr>
          <w:rFonts w:ascii="Times New Roman" w:eastAsiaTheme="majorEastAsia" w:hAnsi="Times New Roman" w:cs="Times New Roman"/>
          <w:sz w:val="56"/>
          <w:szCs w:val="56"/>
        </w:rPr>
        <w:t>T</w:t>
      </w:r>
      <w:r w:rsidR="002D26AF" w:rsidRPr="00F26949">
        <w:rPr>
          <w:rFonts w:ascii="Times New Roman" w:eastAsiaTheme="majorEastAsia" w:hAnsi="Times New Roman" w:cs="Times New Roman"/>
          <w:sz w:val="56"/>
          <w:szCs w:val="56"/>
        </w:rPr>
        <w:t>ables</w:t>
      </w:r>
      <w:bookmarkEnd w:id="87"/>
    </w:p>
    <w:p w14:paraId="43C14669" w14:textId="77777777" w:rsidR="00E2210F" w:rsidRDefault="00E2210F" w:rsidP="002D26AF">
      <w:pPr>
        <w:keepNext/>
        <w:keepLines/>
        <w:spacing w:before="240" w:after="0"/>
        <w:outlineLvl w:val="0"/>
        <w:rPr>
          <w:rFonts w:ascii="Times New Roman" w:eastAsiaTheme="majorEastAsia" w:hAnsi="Times New Roman" w:cs="Times New Roman"/>
          <w:sz w:val="56"/>
          <w:szCs w:val="56"/>
        </w:rPr>
      </w:pPr>
    </w:p>
    <w:p w14:paraId="4B3C6C20" w14:textId="3A7C12FA" w:rsidR="00E2210F" w:rsidRPr="00FF2AF0" w:rsidRDefault="00E2210F" w:rsidP="00FF2AF0">
      <w:pPr>
        <w:keepNext/>
        <w:keepLines/>
        <w:spacing w:after="0" w:line="24" w:lineRule="auto"/>
        <w:outlineLvl w:val="0"/>
        <w:rPr>
          <w:rFonts w:ascii="Times New Roman" w:hAnsi="Times New Roman" w:cs="Times New Roman"/>
          <w:noProof/>
          <w:sz w:val="24"/>
          <w:szCs w:val="24"/>
        </w:rPr>
      </w:pPr>
      <w:r w:rsidRPr="00FF2AF0">
        <w:rPr>
          <w:rFonts w:ascii="Times New Roman" w:eastAsiaTheme="majorEastAsia" w:hAnsi="Times New Roman" w:cs="Times New Roman"/>
          <w:sz w:val="24"/>
          <w:szCs w:val="24"/>
        </w:rPr>
        <w:fldChar w:fldCharType="begin"/>
      </w:r>
      <w:r w:rsidRPr="00FF2AF0">
        <w:rPr>
          <w:rFonts w:ascii="Times New Roman" w:eastAsiaTheme="majorEastAsia" w:hAnsi="Times New Roman" w:cs="Times New Roman"/>
          <w:sz w:val="24"/>
          <w:szCs w:val="24"/>
        </w:rPr>
        <w:instrText xml:space="preserve"> TOC \h \z \c "Table 2." </w:instrText>
      </w:r>
      <w:r w:rsidRPr="00FF2AF0">
        <w:rPr>
          <w:rFonts w:ascii="Times New Roman" w:eastAsiaTheme="majorEastAsia" w:hAnsi="Times New Roman" w:cs="Times New Roman"/>
          <w:sz w:val="24"/>
          <w:szCs w:val="24"/>
        </w:rPr>
        <w:fldChar w:fldCharType="separate"/>
      </w:r>
    </w:p>
    <w:p w14:paraId="7010CF92" w14:textId="77777777" w:rsidR="00E2210F" w:rsidRPr="00FF2AF0" w:rsidRDefault="00E2210F" w:rsidP="00FF2AF0">
      <w:pPr>
        <w:keepNext/>
        <w:keepLines/>
        <w:spacing w:after="0" w:line="24" w:lineRule="auto"/>
        <w:outlineLvl w:val="0"/>
        <w:rPr>
          <w:rFonts w:ascii="Times New Roman" w:hAnsi="Times New Roman" w:cs="Times New Roman"/>
          <w:noProof/>
          <w:sz w:val="24"/>
          <w:szCs w:val="24"/>
        </w:rPr>
      </w:pPr>
      <w:r w:rsidRPr="00FF2AF0">
        <w:rPr>
          <w:rFonts w:ascii="Times New Roman" w:eastAsiaTheme="majorEastAsia" w:hAnsi="Times New Roman" w:cs="Times New Roman"/>
          <w:sz w:val="24"/>
          <w:szCs w:val="24"/>
        </w:rPr>
        <w:fldChar w:fldCharType="end"/>
      </w:r>
      <w:r w:rsidRPr="00FF2AF0">
        <w:rPr>
          <w:rFonts w:ascii="Times New Roman" w:eastAsiaTheme="majorEastAsia" w:hAnsi="Times New Roman" w:cs="Times New Roman"/>
          <w:sz w:val="24"/>
          <w:szCs w:val="24"/>
        </w:rPr>
        <w:fldChar w:fldCharType="begin"/>
      </w:r>
      <w:r w:rsidRPr="00FF2AF0">
        <w:rPr>
          <w:rFonts w:ascii="Times New Roman" w:eastAsiaTheme="majorEastAsia" w:hAnsi="Times New Roman" w:cs="Times New Roman"/>
          <w:sz w:val="24"/>
          <w:szCs w:val="24"/>
        </w:rPr>
        <w:instrText xml:space="preserve"> TOC \h \z \c "Table 3." </w:instrText>
      </w:r>
      <w:r w:rsidRPr="00FF2AF0">
        <w:rPr>
          <w:rFonts w:ascii="Times New Roman" w:eastAsiaTheme="majorEastAsia" w:hAnsi="Times New Roman" w:cs="Times New Roman"/>
          <w:sz w:val="24"/>
          <w:szCs w:val="24"/>
        </w:rPr>
        <w:fldChar w:fldCharType="separate"/>
      </w:r>
    </w:p>
    <w:p w14:paraId="4FF7FC44" w14:textId="04373B6D"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57" w:history="1">
        <w:r w:rsidR="00E2210F" w:rsidRPr="00FF2AF0">
          <w:rPr>
            <w:rStyle w:val="Hyperlink"/>
            <w:rFonts w:ascii="Times New Roman" w:hAnsi="Times New Roman" w:cs="Times New Roman"/>
            <w:noProof/>
            <w:sz w:val="24"/>
            <w:szCs w:val="24"/>
          </w:rPr>
          <w:t xml:space="preserve">Table 3. 1 For </w:t>
        </w:r>
        <w:r w:rsidR="00E2210F" w:rsidRPr="00FF2AF0">
          <w:rPr>
            <w:rStyle w:val="Hyperlink"/>
            <w:rFonts w:ascii="Times New Roman" w:hAnsi="Times New Roman" w:cs="Times New Roman"/>
            <w:noProof/>
            <w:sz w:val="24"/>
            <w:szCs w:val="24"/>
            <w:lang w:val="en-US"/>
          </w:rPr>
          <w:t>each m/z used in PMF model, the table lists the major compound identifications and the references supporting such assignments from previous works along with detection limits and sensitivities.</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_Toc133580157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E2210F" w:rsidRPr="00FF2AF0">
          <w:rPr>
            <w:rFonts w:ascii="Times New Roman" w:hAnsi="Times New Roman" w:cs="Times New Roman"/>
            <w:noProof/>
            <w:webHidden/>
            <w:sz w:val="24"/>
            <w:szCs w:val="24"/>
          </w:rPr>
          <w:fldChar w:fldCharType="end"/>
        </w:r>
      </w:hyperlink>
    </w:p>
    <w:p w14:paraId="779589A7" w14:textId="5ED2C317"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58" w:history="1">
        <w:r w:rsidR="00E2210F" w:rsidRPr="00FF2AF0">
          <w:rPr>
            <w:rStyle w:val="Hyperlink"/>
            <w:rFonts w:ascii="Times New Roman" w:hAnsi="Times New Roman" w:cs="Times New Roman"/>
            <w:noProof/>
            <w:sz w:val="24"/>
            <w:szCs w:val="24"/>
          </w:rPr>
          <w:t>Table 3. 2 Input data statistics for PMF Model runs.</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_Toc133580158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E2210F" w:rsidRPr="00FF2AF0">
          <w:rPr>
            <w:rFonts w:ascii="Times New Roman" w:hAnsi="Times New Roman" w:cs="Times New Roman"/>
            <w:noProof/>
            <w:webHidden/>
            <w:sz w:val="24"/>
            <w:szCs w:val="24"/>
          </w:rPr>
          <w:fldChar w:fldCharType="end"/>
        </w:r>
      </w:hyperlink>
    </w:p>
    <w:p w14:paraId="3ECEBA6A" w14:textId="68212B28"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59" w:history="1">
        <w:r w:rsidR="00E2210F" w:rsidRPr="00FF2AF0">
          <w:rPr>
            <w:rStyle w:val="Hyperlink"/>
            <w:rFonts w:ascii="Times New Roman" w:hAnsi="Times New Roman" w:cs="Times New Roman"/>
            <w:noProof/>
            <w:sz w:val="24"/>
            <w:szCs w:val="24"/>
          </w:rPr>
          <w:t>Table 3. 3 List of constraints applied to the wheat residue burning, biofuel use and waste disposal, industrial emissions and solvent use, and four-wheeler source factors using constraints option available in US EPA PMF 5.0. Exact details of the factor contribution constraints mentioning the date and time of the plumes characterizing different sources is also provided.</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_Toc133580159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49</w:t>
        </w:r>
        <w:r w:rsidR="00E2210F" w:rsidRPr="00FF2AF0">
          <w:rPr>
            <w:rFonts w:ascii="Times New Roman" w:hAnsi="Times New Roman" w:cs="Times New Roman"/>
            <w:noProof/>
            <w:webHidden/>
            <w:sz w:val="24"/>
            <w:szCs w:val="24"/>
          </w:rPr>
          <w:fldChar w:fldCharType="end"/>
        </w:r>
      </w:hyperlink>
    </w:p>
    <w:p w14:paraId="0FC44D35" w14:textId="77777777" w:rsidR="00E2210F" w:rsidRPr="00FF2AF0" w:rsidRDefault="00E2210F" w:rsidP="00FF2AF0">
      <w:pPr>
        <w:keepNext/>
        <w:keepLines/>
        <w:spacing w:after="0" w:line="24" w:lineRule="auto"/>
        <w:outlineLvl w:val="0"/>
        <w:rPr>
          <w:rFonts w:ascii="Times New Roman" w:hAnsi="Times New Roman" w:cs="Times New Roman"/>
          <w:noProof/>
          <w:sz w:val="24"/>
          <w:szCs w:val="24"/>
        </w:rPr>
      </w:pPr>
      <w:r w:rsidRPr="00FF2AF0">
        <w:rPr>
          <w:rFonts w:ascii="Times New Roman" w:eastAsiaTheme="majorEastAsia" w:hAnsi="Times New Roman" w:cs="Times New Roman"/>
          <w:sz w:val="24"/>
          <w:szCs w:val="24"/>
        </w:rPr>
        <w:fldChar w:fldCharType="end"/>
      </w:r>
      <w:r w:rsidRPr="00FF2AF0">
        <w:rPr>
          <w:rFonts w:ascii="Times New Roman" w:eastAsiaTheme="majorEastAsia" w:hAnsi="Times New Roman" w:cs="Times New Roman"/>
          <w:sz w:val="24"/>
          <w:szCs w:val="24"/>
        </w:rPr>
        <w:fldChar w:fldCharType="begin"/>
      </w:r>
      <w:r w:rsidRPr="00FF2AF0">
        <w:rPr>
          <w:rFonts w:ascii="Times New Roman" w:eastAsiaTheme="majorEastAsia" w:hAnsi="Times New Roman" w:cs="Times New Roman"/>
          <w:sz w:val="24"/>
          <w:szCs w:val="24"/>
        </w:rPr>
        <w:instrText xml:space="preserve"> TOC \h \z \c "Table 4." </w:instrText>
      </w:r>
      <w:r w:rsidRPr="00FF2AF0">
        <w:rPr>
          <w:rFonts w:ascii="Times New Roman" w:eastAsiaTheme="majorEastAsia" w:hAnsi="Times New Roman" w:cs="Times New Roman"/>
          <w:sz w:val="24"/>
          <w:szCs w:val="24"/>
        </w:rPr>
        <w:fldChar w:fldCharType="separate"/>
      </w:r>
    </w:p>
    <w:p w14:paraId="78D29423" w14:textId="168D06F9"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65" w:history="1">
        <w:r w:rsidR="00E2210F" w:rsidRPr="00FF2AF0">
          <w:rPr>
            <w:rStyle w:val="Hyperlink"/>
            <w:rFonts w:ascii="Times New Roman" w:hAnsi="Times New Roman" w:cs="Times New Roman"/>
            <w:noProof/>
            <w:sz w:val="24"/>
            <w:szCs w:val="24"/>
          </w:rPr>
          <w:t>Table 4. 1 PMF model input data summary statistics of PM (</w:t>
        </w:r>
        <w:r w:rsidR="00E2210F" w:rsidRPr="00FF2AF0">
          <w:rPr>
            <w:rStyle w:val="Hyperlink"/>
            <w:rFonts w:ascii="Times New Roman" w:hAnsi="Times New Roman" w:cs="Times New Roman"/>
            <w:noProof/>
            <w:sz w:val="24"/>
            <w:szCs w:val="24"/>
            <w:lang w:val="en-GB"/>
          </w:rPr>
          <w:t>µg/m³)</w:t>
        </w:r>
        <w:r w:rsidR="00E2210F" w:rsidRPr="00FF2AF0">
          <w:rPr>
            <w:rStyle w:val="Hyperlink"/>
            <w:rFonts w:ascii="Times New Roman" w:hAnsi="Times New Roman" w:cs="Times New Roman"/>
            <w:noProof/>
            <w:sz w:val="24"/>
            <w:szCs w:val="24"/>
          </w:rPr>
          <w:t>.</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_Toc133580165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82</w:t>
        </w:r>
        <w:r w:rsidR="00E2210F" w:rsidRPr="00FF2AF0">
          <w:rPr>
            <w:rFonts w:ascii="Times New Roman" w:hAnsi="Times New Roman" w:cs="Times New Roman"/>
            <w:noProof/>
            <w:webHidden/>
            <w:sz w:val="24"/>
            <w:szCs w:val="24"/>
          </w:rPr>
          <w:fldChar w:fldCharType="end"/>
        </w:r>
      </w:hyperlink>
    </w:p>
    <w:p w14:paraId="418A082A" w14:textId="34E43046"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66" w:history="1">
        <w:r w:rsidR="00E2210F" w:rsidRPr="00FF2AF0">
          <w:rPr>
            <w:rStyle w:val="Hyperlink"/>
            <w:rFonts w:ascii="Times New Roman" w:hAnsi="Times New Roman" w:cs="Times New Roman"/>
            <w:noProof/>
            <w:sz w:val="24"/>
            <w:szCs w:val="24"/>
          </w:rPr>
          <w:t>Table 4. 2 Correlation matrix giving R-values between 6-factor solution and 7-factor solution derived from PMF. (Factor name abbreviations: WH- wheat residue burning, TW- two wheelers, DY- mixed daytime, BW- biofuel use and waste disposal, CR- cars, IS- industrial emissions and solvent use, DS- dust)</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_Toc133580166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84</w:t>
        </w:r>
        <w:r w:rsidR="00E2210F" w:rsidRPr="00FF2AF0">
          <w:rPr>
            <w:rFonts w:ascii="Times New Roman" w:hAnsi="Times New Roman" w:cs="Times New Roman"/>
            <w:noProof/>
            <w:webHidden/>
            <w:sz w:val="24"/>
            <w:szCs w:val="24"/>
          </w:rPr>
          <w:fldChar w:fldCharType="end"/>
        </w:r>
      </w:hyperlink>
    </w:p>
    <w:p w14:paraId="6767FA10" w14:textId="35F90C0D" w:rsidR="00E2210F" w:rsidRPr="00FF2AF0" w:rsidRDefault="0036384D" w:rsidP="00FF2AF0">
      <w:pPr>
        <w:pStyle w:val="TableofFigures"/>
        <w:tabs>
          <w:tab w:val="right" w:leader="dot" w:pos="9016"/>
        </w:tabs>
        <w:spacing w:line="360" w:lineRule="auto"/>
        <w:rPr>
          <w:rFonts w:ascii="Times New Roman" w:eastAsiaTheme="minorEastAsia" w:hAnsi="Times New Roman" w:cs="Times New Roman"/>
          <w:noProof/>
          <w:sz w:val="24"/>
          <w:szCs w:val="24"/>
          <w:lang w:eastAsia="en-IN"/>
        </w:rPr>
      </w:pPr>
      <w:hyperlink w:anchor="_Toc133580167" w:history="1">
        <w:r w:rsidR="00E2210F" w:rsidRPr="00FF2AF0">
          <w:rPr>
            <w:rStyle w:val="Hyperlink"/>
            <w:rFonts w:ascii="Times New Roman" w:hAnsi="Times New Roman" w:cs="Times New Roman"/>
            <w:noProof/>
            <w:sz w:val="24"/>
            <w:szCs w:val="24"/>
          </w:rPr>
          <w:t>Table 4. 3 Different sources of emission and their chemical signatures.</w:t>
        </w:r>
        <w:r w:rsidR="00E2210F" w:rsidRPr="00FF2AF0">
          <w:rPr>
            <w:rFonts w:ascii="Times New Roman" w:hAnsi="Times New Roman" w:cs="Times New Roman"/>
            <w:noProof/>
            <w:webHidden/>
            <w:sz w:val="24"/>
            <w:szCs w:val="24"/>
          </w:rPr>
          <w:tab/>
        </w:r>
        <w:r w:rsidR="00E2210F" w:rsidRPr="00FF2AF0">
          <w:rPr>
            <w:rFonts w:ascii="Times New Roman" w:hAnsi="Times New Roman" w:cs="Times New Roman"/>
            <w:noProof/>
            <w:webHidden/>
            <w:sz w:val="24"/>
            <w:szCs w:val="24"/>
          </w:rPr>
          <w:fldChar w:fldCharType="begin"/>
        </w:r>
        <w:r w:rsidR="00E2210F" w:rsidRPr="00FF2AF0">
          <w:rPr>
            <w:rFonts w:ascii="Times New Roman" w:hAnsi="Times New Roman" w:cs="Times New Roman"/>
            <w:noProof/>
            <w:webHidden/>
            <w:sz w:val="24"/>
            <w:szCs w:val="24"/>
          </w:rPr>
          <w:instrText xml:space="preserve"> PAGEREF _Toc133580167 \h </w:instrText>
        </w:r>
        <w:r w:rsidR="00E2210F" w:rsidRPr="00FF2AF0">
          <w:rPr>
            <w:rFonts w:ascii="Times New Roman" w:hAnsi="Times New Roman" w:cs="Times New Roman"/>
            <w:noProof/>
            <w:webHidden/>
            <w:sz w:val="24"/>
            <w:szCs w:val="24"/>
          </w:rPr>
        </w:r>
        <w:r w:rsidR="00E2210F" w:rsidRPr="00FF2AF0">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88</w:t>
        </w:r>
        <w:r w:rsidR="00E2210F" w:rsidRPr="00FF2AF0">
          <w:rPr>
            <w:rFonts w:ascii="Times New Roman" w:hAnsi="Times New Roman" w:cs="Times New Roman"/>
            <w:noProof/>
            <w:webHidden/>
            <w:sz w:val="24"/>
            <w:szCs w:val="24"/>
          </w:rPr>
          <w:fldChar w:fldCharType="end"/>
        </w:r>
      </w:hyperlink>
    </w:p>
    <w:p w14:paraId="50FE0243" w14:textId="01C8CF45" w:rsidR="00E2210F" w:rsidRDefault="00E2210F" w:rsidP="00FF2AF0">
      <w:pPr>
        <w:keepNext/>
        <w:keepLines/>
        <w:spacing w:before="240" w:after="0" w:line="360" w:lineRule="auto"/>
        <w:outlineLvl w:val="0"/>
        <w:rPr>
          <w:rFonts w:ascii="Times New Roman" w:eastAsiaTheme="majorEastAsia" w:hAnsi="Times New Roman" w:cs="Times New Roman"/>
          <w:sz w:val="56"/>
          <w:szCs w:val="56"/>
        </w:rPr>
      </w:pPr>
      <w:r w:rsidRPr="00FF2AF0">
        <w:rPr>
          <w:rFonts w:ascii="Times New Roman" w:eastAsiaTheme="majorEastAsia" w:hAnsi="Times New Roman" w:cs="Times New Roman"/>
          <w:sz w:val="24"/>
          <w:szCs w:val="24"/>
        </w:rPr>
        <w:fldChar w:fldCharType="end"/>
      </w:r>
    </w:p>
    <w:p w14:paraId="7FFB0DC0" w14:textId="77777777" w:rsidR="00AB54F3" w:rsidRPr="00F26949" w:rsidRDefault="00AB54F3" w:rsidP="002D26AF">
      <w:pPr>
        <w:keepNext/>
        <w:keepLines/>
        <w:spacing w:before="240" w:after="0"/>
        <w:outlineLvl w:val="0"/>
        <w:rPr>
          <w:rFonts w:ascii="Times New Roman" w:eastAsiaTheme="majorEastAsia" w:hAnsi="Times New Roman" w:cs="Times New Roman"/>
          <w:sz w:val="56"/>
          <w:szCs w:val="56"/>
        </w:rPr>
      </w:pPr>
    </w:p>
    <w:p w14:paraId="2DB964D1" w14:textId="77777777" w:rsidR="002D26AF" w:rsidRDefault="002D26AF" w:rsidP="002D26AF">
      <w:pPr>
        <w:rPr>
          <w:rFonts w:ascii="Times New Roman" w:hAnsi="Times New Roman" w:cs="Times New Roman"/>
          <w:sz w:val="24"/>
          <w:szCs w:val="24"/>
        </w:rPr>
      </w:pPr>
    </w:p>
    <w:p w14:paraId="504E2E2F" w14:textId="77777777" w:rsidR="00AB54F3" w:rsidRPr="00F26949" w:rsidRDefault="00AB54F3" w:rsidP="002D26AF">
      <w:pPr>
        <w:rPr>
          <w:rFonts w:ascii="Times New Roman" w:hAnsi="Times New Roman" w:cs="Times New Roman"/>
          <w:sz w:val="24"/>
          <w:szCs w:val="24"/>
        </w:rPr>
      </w:pPr>
    </w:p>
    <w:p w14:paraId="1D3B13DF" w14:textId="77777777" w:rsidR="00D47E95" w:rsidRDefault="00D47E95" w:rsidP="0081457B">
      <w:pPr>
        <w:keepNext/>
        <w:keepLines/>
        <w:spacing w:before="240" w:after="0"/>
        <w:outlineLvl w:val="0"/>
        <w:rPr>
          <w:rFonts w:ascii="Times New Roman" w:hAnsi="Times New Roman" w:cs="Times New Roman"/>
          <w:sz w:val="24"/>
          <w:szCs w:val="24"/>
        </w:rPr>
      </w:pPr>
      <w:bookmarkStart w:id="88" w:name="_Toc146809871"/>
    </w:p>
    <w:p w14:paraId="44C37B41" w14:textId="39737422" w:rsidR="002D26AF" w:rsidRDefault="002D26AF" w:rsidP="0081457B">
      <w:pPr>
        <w:keepNext/>
        <w:keepLines/>
        <w:spacing w:before="240" w:after="0"/>
        <w:outlineLvl w:val="0"/>
        <w:rPr>
          <w:rFonts w:ascii="Times New Roman" w:eastAsiaTheme="majorEastAsia" w:hAnsi="Times New Roman" w:cs="Times New Roman"/>
          <w:sz w:val="56"/>
          <w:szCs w:val="56"/>
        </w:rPr>
      </w:pPr>
      <w:r w:rsidRPr="00F26949">
        <w:rPr>
          <w:rFonts w:ascii="Times New Roman" w:eastAsiaTheme="majorEastAsia" w:hAnsi="Times New Roman" w:cs="Times New Roman"/>
          <w:sz w:val="56"/>
          <w:szCs w:val="56"/>
        </w:rPr>
        <w:t>Bibliography</w:t>
      </w:r>
      <w:bookmarkEnd w:id="88"/>
    </w:p>
    <w:p w14:paraId="48C7C4DA" w14:textId="77777777" w:rsidR="0081457B" w:rsidRPr="0081457B" w:rsidRDefault="0081457B" w:rsidP="0081457B">
      <w:pPr>
        <w:keepNext/>
        <w:keepLines/>
        <w:spacing w:before="240" w:after="0"/>
        <w:outlineLvl w:val="0"/>
        <w:rPr>
          <w:rFonts w:ascii="Times New Roman" w:eastAsiaTheme="majorEastAsia" w:hAnsi="Times New Roman" w:cs="Times New Roman"/>
          <w:sz w:val="56"/>
          <w:szCs w:val="56"/>
        </w:rPr>
      </w:pPr>
    </w:p>
    <w:p w14:paraId="1A5C469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Abdi, H., &amp; Williams, L. J. (2010). Principal component analysis. Wiley interdisciplinary reviews: computational statistics, 2(4), 433-459. </w:t>
      </w:r>
    </w:p>
    <w:p w14:paraId="610D618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Abe, O. (2002). Front Matter. In Regional Strategy on Environmental Education in the Asia-Pacific (pp.i–ii). Institute for Global Environmental Strategies. http://www.jstor.org/stable/resrep00808.1</w:t>
      </w:r>
    </w:p>
    <w:p w14:paraId="596455B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Adams, K., Greenbaum, D. S., Shaikh, R., van Erp, A. M., &amp; Russell, A. G. (2015). Particulate matter components, sources, and health: Systematic approaches to testing effects. Journal of the Air &amp; Waste Management Association, 65(5), 544-558.</w:t>
      </w:r>
    </w:p>
    <w:p w14:paraId="7939DC4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Amann, M., Bertok,  I.,  Borken-Kleefeld,  J.,  Cofala,  J., Heyes, C., Hoeglund-Isaksson, L.,  Klimont,  Z.,  Nguyen, B., Posch, M., Rafaj, P., Sandler,  R.,  Schoepp,  W.,  Wagner, F., and Winiwarter, W. (2011). Cost-effective control of air quality and greenhouse gases in Europe: Modeling and policy applications, Environ. Model Softw., 26, 1489–1501., https://doi.org/10.1016/j.envsoft.2011.07.012.</w:t>
      </w:r>
    </w:p>
    <w:p w14:paraId="3BC42E2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Arrow, K., Bolin, B., Costanza, R., Dasgupta, P., Folke, C., Holling, C. S., ... &amp; Maler, K. G, Perrings, C and Pimental, D (1995).‘Economic Growth, Carrying Capacity and the Environment’. Ecological Economics, 58, 91-95.</w:t>
      </w:r>
    </w:p>
    <w:p w14:paraId="702AE448"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Aw, J., &amp; Kleeman, M. J. (2003). Evaluating the first‐order effect of intraannual temperature variability on urban air pollution. Journal of Geophysical Research: Atmospheres, 108(D12).</w:t>
      </w:r>
    </w:p>
    <w:p w14:paraId="598F068B" w14:textId="5E76AAEA" w:rsidR="000D2070" w:rsidRPr="005561C4" w:rsidRDefault="000D2070" w:rsidP="002D26AF">
      <w:pPr>
        <w:spacing w:line="360" w:lineRule="auto"/>
        <w:jc w:val="both"/>
        <w:rPr>
          <w:rFonts w:ascii="Times New Roman" w:hAnsi="Times New Roman" w:cs="Times New Roman"/>
          <w:color w:val="222222"/>
          <w:sz w:val="24"/>
          <w:szCs w:val="24"/>
          <w:shd w:val="clear" w:color="auto" w:fill="FFFFFF"/>
        </w:rPr>
      </w:pPr>
      <w:r w:rsidRPr="000D2070">
        <w:rPr>
          <w:rFonts w:ascii="Times New Roman" w:hAnsi="Times New Roman" w:cs="Times New Roman"/>
          <w:color w:val="222222"/>
          <w:sz w:val="24"/>
          <w:szCs w:val="24"/>
          <w:shd w:val="clear" w:color="auto" w:fill="FFFFFF"/>
        </w:rPr>
        <w:t>Awasthi, A., Agarwal, R., Mittal, S. K., Singh, N., Singh, K., &amp; Gupta, P. K. (2011). Study of size and mass distribution of particulate matter due to crop residue burning with seasonal variation in rural area of Punjab, India. </w:t>
      </w:r>
      <w:r w:rsidRPr="000D2070">
        <w:rPr>
          <w:rFonts w:ascii="Times New Roman" w:hAnsi="Times New Roman" w:cs="Times New Roman"/>
          <w:iCs/>
          <w:color w:val="222222"/>
          <w:sz w:val="24"/>
          <w:szCs w:val="24"/>
          <w:shd w:val="clear" w:color="auto" w:fill="FFFFFF"/>
        </w:rPr>
        <w:t>Journal of Environmental Monitoring</w:t>
      </w:r>
      <w:r w:rsidRPr="000D2070">
        <w:rPr>
          <w:rFonts w:ascii="Times New Roman" w:hAnsi="Times New Roman" w:cs="Times New Roman"/>
          <w:color w:val="222222"/>
          <w:sz w:val="24"/>
          <w:szCs w:val="24"/>
          <w:shd w:val="clear" w:color="auto" w:fill="FFFFFF"/>
        </w:rPr>
        <w:t>, </w:t>
      </w:r>
      <w:r w:rsidRPr="000D2070">
        <w:rPr>
          <w:rFonts w:ascii="Times New Roman" w:hAnsi="Times New Roman" w:cs="Times New Roman"/>
          <w:iCs/>
          <w:color w:val="222222"/>
          <w:sz w:val="24"/>
          <w:szCs w:val="24"/>
          <w:shd w:val="clear" w:color="auto" w:fill="FFFFFF"/>
        </w:rPr>
        <w:t>13</w:t>
      </w:r>
      <w:r w:rsidRPr="000D2070">
        <w:rPr>
          <w:rFonts w:ascii="Times New Roman" w:hAnsi="Times New Roman" w:cs="Times New Roman"/>
          <w:color w:val="222222"/>
          <w:sz w:val="24"/>
          <w:szCs w:val="24"/>
          <w:shd w:val="clear" w:color="auto" w:fill="FFFFFF"/>
        </w:rPr>
        <w:t>(4), 1073-1081.</w:t>
      </w:r>
    </w:p>
    <w:p w14:paraId="388489C1"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Bailey, J. C., Schmidt, B., &amp; Williams, M. L. (1990). Speciated hydrocarbon emissions from vehicles operated over the normal speed range on the road. Atmospheric Environment. Part A. General Topics, 24(1), 43-52.</w:t>
      </w:r>
    </w:p>
    <w:p w14:paraId="7E04E0B9" w14:textId="61241D27" w:rsidR="00E81F2A" w:rsidRPr="00F26949" w:rsidRDefault="00E81F2A" w:rsidP="002D26AF">
      <w:pPr>
        <w:spacing w:line="360" w:lineRule="auto"/>
        <w:jc w:val="both"/>
        <w:rPr>
          <w:rFonts w:ascii="Times New Roman" w:hAnsi="Times New Roman" w:cs="Times New Roman"/>
          <w:sz w:val="24"/>
          <w:szCs w:val="24"/>
        </w:rPr>
      </w:pPr>
      <w:r w:rsidRPr="00E81F2A">
        <w:rPr>
          <w:rFonts w:ascii="Times New Roman" w:hAnsi="Times New Roman" w:cs="Times New Roman"/>
          <w:sz w:val="24"/>
          <w:szCs w:val="24"/>
        </w:rPr>
        <w:lastRenderedPageBreak/>
        <w:t>Balachandran, S., Meena, B. R., &amp; Khillare, P. S. (2000). Particle size distribution and its elemental composition in the ambient air of Delhi. </w:t>
      </w:r>
      <w:r w:rsidRPr="00E81F2A">
        <w:rPr>
          <w:rFonts w:ascii="Times New Roman" w:hAnsi="Times New Roman" w:cs="Times New Roman"/>
          <w:iCs/>
          <w:sz w:val="24"/>
          <w:szCs w:val="24"/>
        </w:rPr>
        <w:t>Environment international</w:t>
      </w:r>
      <w:r w:rsidRPr="00E81F2A">
        <w:rPr>
          <w:rFonts w:ascii="Times New Roman" w:hAnsi="Times New Roman" w:cs="Times New Roman"/>
          <w:sz w:val="24"/>
          <w:szCs w:val="24"/>
        </w:rPr>
        <w:t>, </w:t>
      </w:r>
      <w:r w:rsidRPr="00E81F2A">
        <w:rPr>
          <w:rFonts w:ascii="Times New Roman" w:hAnsi="Times New Roman" w:cs="Times New Roman"/>
          <w:iCs/>
          <w:sz w:val="24"/>
          <w:szCs w:val="24"/>
        </w:rPr>
        <w:t>26</w:t>
      </w:r>
      <w:r w:rsidRPr="00E81F2A">
        <w:rPr>
          <w:rFonts w:ascii="Times New Roman" w:hAnsi="Times New Roman" w:cs="Times New Roman"/>
          <w:sz w:val="24"/>
          <w:szCs w:val="24"/>
        </w:rPr>
        <w:t>(1-2), 49-54.</w:t>
      </w:r>
    </w:p>
    <w:p w14:paraId="4FA584A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Baldasano, J. M., Valera, E., &amp; Jiménez, P. (2003). Air quality data from large cities. Science of the Total Environment, 307(1-3), 141-165.</w:t>
      </w:r>
    </w:p>
    <w:p w14:paraId="1BDF0F2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Banerjee, T., Murari, V., Kumar, M., &amp; Raju, M. P. (2015). Source apportionment of airborne particulates through receptor modeling: Indian scenario. Atmospheric Research, 164, 167-187.</w:t>
      </w:r>
    </w:p>
    <w:p w14:paraId="57560BA3"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Bang, H. Q., &amp; Khue, V. H. N. (2018). Air emission inventory. Air Pollution-Monitoring, Quantification and Removal of Gases and Particles.</w:t>
      </w:r>
    </w:p>
    <w:p w14:paraId="1B09415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Barbera, E., Currò, C., &amp; Valenti, G. (2010). A hyperbolic model for the effects of urbanization on air pollution. Applied mathematical modelling, 34(8), 2192-2202.</w:t>
      </w:r>
    </w:p>
    <w:p w14:paraId="4D1C40E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Barletta, B., Meinardi, S., Rowland, F. S., Chan, C. Y., Wang, X., Zou, S., ... &amp; Blake, D. R. (2005). Volatile organic compounds in 43 Chinese cities. Atmospheric Environment, 39(32), 5979-5990.</w:t>
      </w:r>
    </w:p>
    <w:p w14:paraId="4FF2D4C1"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Beig, G., Chate, D. M., Ghude, S. D., Mahajan, A. S., Srinivas, R., Ali, K., ... &amp; Trimbake, H. R. (2013). Quantifying the effect of air quality control measures during the 2010 Commonwealth Games at Delhi, India. Atmospheric environment, 80, 455-463.</w:t>
      </w:r>
    </w:p>
    <w:p w14:paraId="5DAB0EF2" w14:textId="4B6CC335" w:rsidR="00173EC2" w:rsidRPr="00F26949" w:rsidRDefault="001E5CFB" w:rsidP="002D26AF">
      <w:pPr>
        <w:spacing w:line="360" w:lineRule="auto"/>
        <w:jc w:val="both"/>
        <w:rPr>
          <w:rFonts w:ascii="Times New Roman" w:hAnsi="Times New Roman" w:cs="Times New Roman"/>
          <w:sz w:val="24"/>
          <w:szCs w:val="24"/>
        </w:rPr>
      </w:pPr>
      <w:r w:rsidRPr="001E5CFB">
        <w:rPr>
          <w:rFonts w:ascii="Times New Roman" w:hAnsi="Times New Roman" w:cs="Times New Roman"/>
          <w:sz w:val="24"/>
          <w:szCs w:val="24"/>
        </w:rPr>
        <w:t>Beig, G., George, M. P., Sahu, S. K., Rathod, A., Singh, S., Dole, S., ... &amp; Shinde, R. (2020). Towards baseline air pollution under COVID-19: implication for chronic health and policy research for Delhi, India. </w:t>
      </w:r>
      <w:r w:rsidRPr="001E5CFB">
        <w:rPr>
          <w:rFonts w:ascii="Times New Roman" w:hAnsi="Times New Roman" w:cs="Times New Roman"/>
          <w:iCs/>
          <w:sz w:val="24"/>
          <w:szCs w:val="24"/>
        </w:rPr>
        <w:t>Current Science (00113891)</w:t>
      </w:r>
      <w:r w:rsidRPr="001E5CFB">
        <w:rPr>
          <w:rFonts w:ascii="Times New Roman" w:hAnsi="Times New Roman" w:cs="Times New Roman"/>
          <w:sz w:val="24"/>
          <w:szCs w:val="24"/>
        </w:rPr>
        <w:t>, </w:t>
      </w:r>
      <w:r w:rsidRPr="001E5CFB">
        <w:rPr>
          <w:rFonts w:ascii="Times New Roman" w:hAnsi="Times New Roman" w:cs="Times New Roman"/>
          <w:iCs/>
          <w:sz w:val="24"/>
          <w:szCs w:val="24"/>
        </w:rPr>
        <w:t>119</w:t>
      </w:r>
      <w:r w:rsidRPr="001E5CFB">
        <w:rPr>
          <w:rFonts w:ascii="Times New Roman" w:hAnsi="Times New Roman" w:cs="Times New Roman"/>
          <w:sz w:val="24"/>
          <w:szCs w:val="24"/>
        </w:rPr>
        <w:t>(7).</w:t>
      </w:r>
    </w:p>
    <w:p w14:paraId="31D8CD1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Beig, G., Maji, S., Panicker, A. S., &amp; Sahu, S. K. (2017). Reactive nitrogen and air quality in India. In The Indian Nitrogen Assessment (pp. 403-426). Elsevier.</w:t>
      </w:r>
    </w:p>
    <w:p w14:paraId="654121E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Belis, C. A., Karagulian, F., Larsen, B. R., &amp; Hopke, P. K. (2013). Critical review and meta-analysis of ambient particulate matter source apportionment using receptor models in Europe. Atmospheric Environment, 69, 94-108.</w:t>
      </w:r>
    </w:p>
    <w:p w14:paraId="0EBDA0D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Belis, C. A., Larsen, B. R., Amato, F., El Haddad, I., Favez, O., Harrison, R. M., ... &amp; Viana, M. (2014). European guide on air pollution source apportionment with receptor models. JRC reference reports EUR26080 EN.</w:t>
      </w:r>
    </w:p>
    <w:p w14:paraId="1BD0F5E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Bertazzi, P. A. (2013). Air pollution risks to human health. Intern. Emerg. Med, 8, S31-S38.</w:t>
      </w:r>
    </w:p>
    <w:p w14:paraId="3A75B06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Bethel, H. L., Atkinson, R., and Arey, J. (2000). Products of the gas-phase reactions of OH radicals with p-xylene and 1, 2, 3- and 1, 2, 4- trimethylbenzene: effect of NO2 concentration, J. Phys. Chem. A, 104, 8922–8929, https://doi.org/10.1021/jp001161s.</w:t>
      </w:r>
    </w:p>
    <w:p w14:paraId="4FFD15F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Bon, D. M., Ulbrich, I. M., de Gouw, J. A., Warneke, C., Kuster, W. C., Alexander, M. L., Baker, A., Beyersdorf, A. J., Blake, D., Fall, R., Jimenez, J. L., Herndon, S. C., Huey, L. G., Knighton, W. B., Ortega, J., Springston, S., and Vargas, O. (2011). Measurements of volatile organic compounds at a suburban ground site (T1) in Mexico City during the MILAGRO 2006 campaign: measurement comparison, emission ratios, and source attribution, Atmos. Chem. Phys., 11, 2399–2421, https://doi.org/10.5194/acp- 11-2399-2011.</w:t>
      </w:r>
    </w:p>
    <w:p w14:paraId="3B40879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Bond, T. C., &amp; Scott, C. E. (2022). Aerosol and precursor gas emissions. In Aerosols and climate (pp. 299-342). Elsevier.</w:t>
      </w:r>
    </w:p>
    <w:p w14:paraId="359D693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Borngraber, E. (2018). The Layers of Earth's Atmosphere. United States: Rosen Publishing Group.</w:t>
      </w:r>
    </w:p>
    <w:p w14:paraId="72D95A6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Boucher, O., D. Randall, P. Artaxo, et al. (2013). Clouds and aerosols. In Climate Change 2013: The Physical Science Basis, Contribution of Working Group I to the Fifth Assessment Report of the Intergovernmental Panel on Climate Change, ed. T. F. Stocker, D. Qin, G.-K. Plattner et al., 571–658. New York, NY: Cambridge University Press.</w:t>
      </w:r>
    </w:p>
    <w:p w14:paraId="176D5CC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Brilli, F., Gioli, B., Ciccioli, P., Zona, D., Loreto, F., Janssens, I. A., &amp; Ceulemans, R. (2014). Proton Transfer Reaction Time-of-Flight Mass Spectrometric (PTR-TOF-MS) determination of volatile organic compounds (VOCs) emitted from a biomass fire developed under stable nocturnal conditions. Atmospheric Environment, 97, 54-67.</w:t>
      </w:r>
    </w:p>
    <w:p w14:paraId="598D562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Brown, S. G., Frankel, A., and Hafner, H. R. (2007). Source apportionment of VOCs in the Los Angeles area using  positive matrix factorization, Atmos. Environ., 41, 227–237, https://doi.org/10.1016/j.atmosenv.2006.08.021.</w:t>
      </w:r>
    </w:p>
    <w:p w14:paraId="1E2FB6F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Brown, S. G., Eberly, S., Paatero, P., and Norris, G. A. (2015). Methods for estimating uncertainty in PMF solutions:  Examples with ambient air and water quality data and </w:t>
      </w:r>
      <w:r w:rsidRPr="00F26949">
        <w:rPr>
          <w:rFonts w:ascii="Times New Roman" w:hAnsi="Times New Roman" w:cs="Times New Roman"/>
          <w:sz w:val="24"/>
          <w:szCs w:val="24"/>
        </w:rPr>
        <w:lastRenderedPageBreak/>
        <w:t>guidance on reporting PMF results, Sci. Total Environ., 518, 626–635, https://doi.org/10.1016/j.scitotenv.2015.01.022.</w:t>
      </w:r>
    </w:p>
    <w:p w14:paraId="278A170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Bruce, N., Perez-Padilla, R., &amp; Albalak, R. (2000). Indoor air pollution in developing countries: a major environmental and public health challenge. Bulletin of the World Health organization, 78(9), 1078-1092.</w:t>
      </w:r>
    </w:p>
    <w:p w14:paraId="77A2AC2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Brunekreef, B., &amp; Holgate, S. T. (2002). Air pollution and health. The lancet, 360(9341), 1233-1242.</w:t>
      </w:r>
    </w:p>
    <w:p w14:paraId="36B345FC"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Bruns, E. A., Slowik, J. G., El Haddad, I., Kilic, D., Klein, F., Dommen, J., ... &amp; Prévôt, A. S. (2017). Characterization of gas-phase organics using proton transfer reaction time-of-flight mass spectrometry: fresh and aged residential wood combustion emissions. Atmospheric Chemistry and Physics, 17(1), 705-720.</w:t>
      </w:r>
    </w:p>
    <w:p w14:paraId="6C46046A" w14:textId="16487D4E" w:rsidR="002D72EE" w:rsidRPr="002D72EE" w:rsidRDefault="001624CA" w:rsidP="002D72EE">
      <w:pPr>
        <w:spacing w:line="360" w:lineRule="auto"/>
        <w:jc w:val="both"/>
        <w:rPr>
          <w:rFonts w:ascii="Times New Roman" w:hAnsi="Times New Roman" w:cs="Times New Roman"/>
          <w:sz w:val="24"/>
          <w:szCs w:val="24"/>
        </w:rPr>
      </w:pPr>
      <w:r w:rsidRPr="001624CA">
        <w:rPr>
          <w:rFonts w:ascii="Times New Roman" w:hAnsi="Times New Roman" w:cs="Times New Roman"/>
          <w:sz w:val="24"/>
          <w:szCs w:val="24"/>
        </w:rPr>
        <w:t>Bryant, D. J., Nelson, B. S., Swift, S. J., Budisulistiorini, S. H., Drysdale, W. S., Vaughan, A. R., ... &amp; Hamilton, J. F. (2023). Biogenic and anthropogenic sources of isoprene and monoterpenes and their secondary organic aerosol in Delhi, India. </w:t>
      </w:r>
      <w:r w:rsidRPr="001624CA">
        <w:rPr>
          <w:rFonts w:ascii="Times New Roman" w:hAnsi="Times New Roman" w:cs="Times New Roman"/>
          <w:iCs/>
          <w:sz w:val="24"/>
          <w:szCs w:val="24"/>
        </w:rPr>
        <w:t>Atmospheric Chemistry and Physics</w:t>
      </w:r>
      <w:r w:rsidRPr="001624CA">
        <w:rPr>
          <w:rFonts w:ascii="Times New Roman" w:hAnsi="Times New Roman" w:cs="Times New Roman"/>
          <w:sz w:val="24"/>
          <w:szCs w:val="24"/>
        </w:rPr>
        <w:t>, </w:t>
      </w:r>
      <w:r w:rsidRPr="001624CA">
        <w:rPr>
          <w:rFonts w:ascii="Times New Roman" w:hAnsi="Times New Roman" w:cs="Times New Roman"/>
          <w:iCs/>
          <w:sz w:val="24"/>
          <w:szCs w:val="24"/>
        </w:rPr>
        <w:t>23</w:t>
      </w:r>
      <w:r w:rsidRPr="001624CA">
        <w:rPr>
          <w:rFonts w:ascii="Times New Roman" w:hAnsi="Times New Roman" w:cs="Times New Roman"/>
          <w:sz w:val="24"/>
          <w:szCs w:val="24"/>
        </w:rPr>
        <w:t>(1), 61-83.</w:t>
      </w:r>
    </w:p>
    <w:p w14:paraId="614EC0B6" w14:textId="75FBDDAB" w:rsidR="001624CA" w:rsidRPr="00F26949" w:rsidRDefault="002D72EE" w:rsidP="002D26AF">
      <w:pPr>
        <w:spacing w:line="360" w:lineRule="auto"/>
        <w:jc w:val="both"/>
        <w:rPr>
          <w:rFonts w:ascii="Times New Roman" w:hAnsi="Times New Roman" w:cs="Times New Roman"/>
          <w:sz w:val="24"/>
          <w:szCs w:val="24"/>
        </w:rPr>
      </w:pPr>
      <w:r w:rsidRPr="002D72EE">
        <w:rPr>
          <w:rFonts w:ascii="Times New Roman" w:hAnsi="Times New Roman" w:cs="Times New Roman"/>
          <w:sz w:val="24"/>
          <w:szCs w:val="24"/>
        </w:rPr>
        <w:t>Buczynska, A. J., Krata, A., Stranger, M., Godoi, A. F. L., Kontozova-Deutsch, V., Bencs, L., ... &amp; Van Grieken, R. (2009). Atmospheric BTEX-concentrations in an area with intensive street traffic. </w:t>
      </w:r>
      <w:r w:rsidRPr="002D72EE">
        <w:rPr>
          <w:rFonts w:ascii="Times New Roman" w:hAnsi="Times New Roman" w:cs="Times New Roman"/>
          <w:iCs/>
          <w:sz w:val="24"/>
          <w:szCs w:val="24"/>
        </w:rPr>
        <w:t>Atmospheric Environment</w:t>
      </w:r>
      <w:r w:rsidRPr="002D72EE">
        <w:rPr>
          <w:rFonts w:ascii="Times New Roman" w:hAnsi="Times New Roman" w:cs="Times New Roman"/>
          <w:sz w:val="24"/>
          <w:szCs w:val="24"/>
        </w:rPr>
        <w:t>, </w:t>
      </w:r>
      <w:r w:rsidRPr="002D72EE">
        <w:rPr>
          <w:rFonts w:ascii="Times New Roman" w:hAnsi="Times New Roman" w:cs="Times New Roman"/>
          <w:iCs/>
          <w:sz w:val="24"/>
          <w:szCs w:val="24"/>
        </w:rPr>
        <w:t>43</w:t>
      </w:r>
      <w:r w:rsidRPr="002D72EE">
        <w:rPr>
          <w:rFonts w:ascii="Times New Roman" w:hAnsi="Times New Roman" w:cs="Times New Roman"/>
          <w:sz w:val="24"/>
          <w:szCs w:val="24"/>
        </w:rPr>
        <w:t>(2), 311-318.</w:t>
      </w:r>
    </w:p>
    <w:p w14:paraId="1690AB1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Cass, G. R., &amp; McRae, G. J. (1983). Source-receptor reconciliation of routine air monitoring data for trace metals: An emission inventory assisted approach. Environmental science &amp; technology, 17(3), 129-139.</w:t>
      </w:r>
    </w:p>
    <w:p w14:paraId="4700635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Census (2011). Government of India, Ministry of Home Affairs, Office of the Registrar General &amp; Census Commissioner, India, available at: http://www.censusindia.gov.in/pca/Searchdata.aspx (last access: 25 July 2018).</w:t>
      </w:r>
    </w:p>
    <w:p w14:paraId="74EF5C6A"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Cesari, D., Amato, F., Pandolfi, M., Alastuey, A., Querol, X., &amp; Contini, D. (2016). An inter-comparison of PM 10 source apportionment using PCA and PMF receptor models in three European sites. Environmental Science and Pollution Research, 23, 15133-15148.</w:t>
      </w:r>
    </w:p>
    <w:p w14:paraId="25E8CEC5" w14:textId="77777777" w:rsidR="00E62945" w:rsidRPr="00E62945" w:rsidRDefault="00E62945" w:rsidP="00E62945">
      <w:pPr>
        <w:spacing w:line="360" w:lineRule="auto"/>
        <w:jc w:val="both"/>
        <w:rPr>
          <w:rFonts w:ascii="Times New Roman" w:hAnsi="Times New Roman" w:cs="Times New Roman"/>
          <w:sz w:val="24"/>
          <w:szCs w:val="24"/>
        </w:rPr>
      </w:pPr>
      <w:r w:rsidRPr="00E62945">
        <w:rPr>
          <w:rFonts w:ascii="Times New Roman" w:hAnsi="Times New Roman" w:cs="Times New Roman"/>
          <w:sz w:val="24"/>
          <w:szCs w:val="24"/>
        </w:rPr>
        <w:lastRenderedPageBreak/>
        <w:t>Chakraborty, A., &amp; Gupta, T. (2010). Chemical characterization and source apportionment of submicron (PM1) aerosol in Kanpur region, India. </w:t>
      </w:r>
      <w:r w:rsidRPr="00E62945">
        <w:rPr>
          <w:rFonts w:ascii="Times New Roman" w:hAnsi="Times New Roman" w:cs="Times New Roman"/>
          <w:iCs/>
          <w:sz w:val="24"/>
          <w:szCs w:val="24"/>
        </w:rPr>
        <w:t>Aerosol and Air Quality Research</w:t>
      </w:r>
      <w:r w:rsidRPr="00E62945">
        <w:rPr>
          <w:rFonts w:ascii="Times New Roman" w:hAnsi="Times New Roman" w:cs="Times New Roman"/>
          <w:sz w:val="24"/>
          <w:szCs w:val="24"/>
        </w:rPr>
        <w:t>, </w:t>
      </w:r>
      <w:r w:rsidRPr="00E62945">
        <w:rPr>
          <w:rFonts w:ascii="Times New Roman" w:hAnsi="Times New Roman" w:cs="Times New Roman"/>
          <w:iCs/>
          <w:sz w:val="24"/>
          <w:szCs w:val="24"/>
        </w:rPr>
        <w:t>10</w:t>
      </w:r>
      <w:r w:rsidRPr="00E62945">
        <w:rPr>
          <w:rFonts w:ascii="Times New Roman" w:hAnsi="Times New Roman" w:cs="Times New Roman"/>
          <w:sz w:val="24"/>
          <w:szCs w:val="24"/>
        </w:rPr>
        <w:t>(5), 433-445.</w:t>
      </w:r>
    </w:p>
    <w:p w14:paraId="1785F683" w14:textId="6E21FEA6" w:rsidR="00E62945" w:rsidRPr="00F26949" w:rsidRDefault="00952511" w:rsidP="002D26AF">
      <w:pPr>
        <w:spacing w:line="360" w:lineRule="auto"/>
        <w:jc w:val="both"/>
        <w:rPr>
          <w:rFonts w:ascii="Times New Roman" w:hAnsi="Times New Roman" w:cs="Times New Roman"/>
          <w:sz w:val="24"/>
          <w:szCs w:val="24"/>
        </w:rPr>
      </w:pPr>
      <w:r w:rsidRPr="00952511">
        <w:rPr>
          <w:rFonts w:ascii="Times New Roman" w:hAnsi="Times New Roman" w:cs="Times New Roman"/>
          <w:sz w:val="24"/>
          <w:szCs w:val="24"/>
        </w:rPr>
        <w:t>Chan, Y. C., Hawas, O., Hawker, D., Vowles, P., Cohen, D. D., Stelcer, E., ... &amp; Christensen, E. (2011). Using multiple type composition data and wind data in PMF analysis to apportion and locate sources of air pollutants. </w:t>
      </w:r>
      <w:r w:rsidRPr="00952511">
        <w:rPr>
          <w:rFonts w:ascii="Times New Roman" w:hAnsi="Times New Roman" w:cs="Times New Roman"/>
          <w:iCs/>
          <w:sz w:val="24"/>
          <w:szCs w:val="24"/>
        </w:rPr>
        <w:t>Atmospheric Environment</w:t>
      </w:r>
      <w:r w:rsidRPr="00952511">
        <w:rPr>
          <w:rFonts w:ascii="Times New Roman" w:hAnsi="Times New Roman" w:cs="Times New Roman"/>
          <w:sz w:val="24"/>
          <w:szCs w:val="24"/>
        </w:rPr>
        <w:t>, </w:t>
      </w:r>
      <w:r w:rsidRPr="00952511">
        <w:rPr>
          <w:rFonts w:ascii="Times New Roman" w:hAnsi="Times New Roman" w:cs="Times New Roman"/>
          <w:iCs/>
          <w:sz w:val="24"/>
          <w:szCs w:val="24"/>
        </w:rPr>
        <w:t>45</w:t>
      </w:r>
      <w:r w:rsidRPr="00952511">
        <w:rPr>
          <w:rFonts w:ascii="Times New Roman" w:hAnsi="Times New Roman" w:cs="Times New Roman"/>
          <w:sz w:val="24"/>
          <w:szCs w:val="24"/>
        </w:rPr>
        <w:t xml:space="preserve">(2), 439-449. </w:t>
      </w:r>
    </w:p>
    <w:p w14:paraId="1DB9329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Chandra, B., Sinha, V., Hakkim, H., and Sinha, B. (2017). Storage stability studies and field application of low cost glass flasks for analyses of thirteen ambient VOCs using proton transfer reaction mass spectrometry, Int. J. Mass Spectrom., 419, 11–19, https://doi.org/10.1016/j.ijms.2017.05.008.</w:t>
      </w:r>
    </w:p>
    <w:p w14:paraId="64D77E4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Chandra, B. P. and Sinha, V. (2016). Contribution of post-harvest agricultural paddy residue fires in the NW Indo-Gangetic Plain to ambient carcinogenic benzenoids, toxic isocyanic acid and carbon monoxide, Environ. Int., 88, 187–197, https://doi.org/10.1016/j.envint.2015.12.025.</w:t>
      </w:r>
    </w:p>
    <w:p w14:paraId="3A149AC6" w14:textId="77777777" w:rsidR="002D26AF" w:rsidRPr="00F26949" w:rsidRDefault="002D26AF" w:rsidP="002D26AF">
      <w:pPr>
        <w:spacing w:line="360" w:lineRule="auto"/>
        <w:jc w:val="both"/>
        <w:rPr>
          <w:rFonts w:ascii="Times New Roman" w:hAnsi="Times New Roman" w:cs="Times New Roman"/>
          <w:sz w:val="24"/>
          <w:szCs w:val="24"/>
        </w:rPr>
      </w:pPr>
      <w:bookmarkStart w:id="89" w:name="_Hlk132980510"/>
      <w:r w:rsidRPr="00F26949">
        <w:rPr>
          <w:rFonts w:ascii="Times New Roman" w:hAnsi="Times New Roman" w:cs="Times New Roman"/>
          <w:sz w:val="24"/>
          <w:szCs w:val="24"/>
        </w:rPr>
        <w:t xml:space="preserve">Charron, </w:t>
      </w:r>
      <w:bookmarkEnd w:id="89"/>
      <w:r w:rsidRPr="00F26949">
        <w:rPr>
          <w:rFonts w:ascii="Times New Roman" w:hAnsi="Times New Roman" w:cs="Times New Roman"/>
          <w:sz w:val="24"/>
          <w:szCs w:val="24"/>
        </w:rPr>
        <w:t>A., Degrendele, C., Laongsri, B., &amp; Harrison, R. M. (2013). Receptor modelling of secondary and carbonaceous particulate matter at a southern UK site. Atmospheric Chemistry and Physics, 13(4), 1879-1894.</w:t>
      </w:r>
    </w:p>
    <w:p w14:paraId="4382791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Chauhan, S. K., Saini, N., &amp; Yadav, V. B. (2014). Recent trends of volatile organic compounds in ambient air and its health impacts: A review. Int. J. Technol. Res. Eng, 1(8), 667.</w:t>
      </w:r>
    </w:p>
    <w:p w14:paraId="7F6D4FE8"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Chavent, M., Guegan, H., Kuentz, V., Patouille, B., &amp; Saracco, J. (2009). PCA‐and PMF‐based methodology for air pollution sources identification and apportionment. Environmetrics: The official journal of the International Environmetrics Society, 20(8), 928-942.</w:t>
      </w:r>
    </w:p>
    <w:p w14:paraId="1F9F7995"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Cheng, I., Xu, X., &amp; Zhang, L. (2015). Overview of receptor-based source apportionment studies for speciated atmospheric mercury. Atmospheric Chemistry and Physics, 15(14), 7877-7895.</w:t>
      </w:r>
    </w:p>
    <w:p w14:paraId="44081E2C" w14:textId="77777777" w:rsidR="002D26AF"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 xml:space="preserve">Cheng, S., Zhang, J., Wang, Y., Zhang, D., Teng, G., Chang-Chien, G. P., ... &amp; Yan, P. (2019). Global research trends in health effects of volatile organic compounds during the </w:t>
      </w:r>
      <w:r w:rsidRPr="00F26949">
        <w:rPr>
          <w:rFonts w:ascii="Times New Roman" w:hAnsi="Times New Roman" w:cs="Times New Roman"/>
          <w:noProof/>
          <w:sz w:val="24"/>
          <w:szCs w:val="24"/>
        </w:rPr>
        <w:lastRenderedPageBreak/>
        <w:t>last 16 years: a bibliometric analysis. Aerosol and Air Quality Research, 19(8), 1834-1843.</w:t>
      </w:r>
    </w:p>
    <w:p w14:paraId="272FF35D" w14:textId="2EE526B1" w:rsidR="00A137E6" w:rsidRDefault="00A137E6" w:rsidP="002D26AF">
      <w:pPr>
        <w:spacing w:line="360" w:lineRule="auto"/>
        <w:jc w:val="both"/>
        <w:rPr>
          <w:rFonts w:ascii="Times New Roman" w:hAnsi="Times New Roman" w:cs="Times New Roman"/>
          <w:noProof/>
          <w:sz w:val="24"/>
          <w:szCs w:val="24"/>
        </w:rPr>
      </w:pPr>
      <w:r w:rsidRPr="00A137E6">
        <w:rPr>
          <w:rFonts w:ascii="Times New Roman" w:hAnsi="Times New Roman" w:cs="Times New Roman"/>
          <w:noProof/>
          <w:sz w:val="24"/>
          <w:szCs w:val="24"/>
        </w:rPr>
        <w:t>Chelani, A. B., Gajghate, D. G., &amp; Devotta, S. (2008). Source apportionment of PM10 in Mumbai, India using CMB model. </w:t>
      </w:r>
      <w:r w:rsidRPr="00A137E6">
        <w:rPr>
          <w:rFonts w:ascii="Times New Roman" w:hAnsi="Times New Roman" w:cs="Times New Roman"/>
          <w:iCs/>
          <w:noProof/>
          <w:sz w:val="24"/>
          <w:szCs w:val="24"/>
        </w:rPr>
        <w:t>Bulletin of environmental contamination and toxicology</w:t>
      </w:r>
      <w:r w:rsidRPr="00A137E6">
        <w:rPr>
          <w:rFonts w:ascii="Times New Roman" w:hAnsi="Times New Roman" w:cs="Times New Roman"/>
          <w:noProof/>
          <w:sz w:val="24"/>
          <w:szCs w:val="24"/>
        </w:rPr>
        <w:t>, </w:t>
      </w:r>
      <w:r w:rsidRPr="00A137E6">
        <w:rPr>
          <w:rFonts w:ascii="Times New Roman" w:hAnsi="Times New Roman" w:cs="Times New Roman"/>
          <w:iCs/>
          <w:noProof/>
          <w:sz w:val="24"/>
          <w:szCs w:val="24"/>
        </w:rPr>
        <w:t>81</w:t>
      </w:r>
      <w:r w:rsidRPr="00A137E6">
        <w:rPr>
          <w:rFonts w:ascii="Times New Roman" w:hAnsi="Times New Roman" w:cs="Times New Roman"/>
          <w:noProof/>
          <w:sz w:val="24"/>
          <w:szCs w:val="24"/>
        </w:rPr>
        <w:t>, 190-195.</w:t>
      </w:r>
    </w:p>
    <w:p w14:paraId="6F05FF1F" w14:textId="0608AB2F" w:rsidR="00597DC8" w:rsidRPr="00F26949" w:rsidRDefault="00597DC8" w:rsidP="002D26AF">
      <w:pPr>
        <w:spacing w:line="360" w:lineRule="auto"/>
        <w:jc w:val="both"/>
        <w:rPr>
          <w:rFonts w:ascii="Times New Roman" w:hAnsi="Times New Roman" w:cs="Times New Roman"/>
          <w:noProof/>
          <w:sz w:val="24"/>
          <w:szCs w:val="24"/>
        </w:rPr>
      </w:pPr>
      <w:r w:rsidRPr="00597DC8">
        <w:rPr>
          <w:rFonts w:ascii="Times New Roman" w:hAnsi="Times New Roman" w:cs="Times New Roman"/>
          <w:noProof/>
          <w:sz w:val="24"/>
          <w:szCs w:val="24"/>
        </w:rPr>
        <w:t>Chowdhury, Z., Zheng, M., Schauer, J. J., Sheesley, R. J., Salmon, L. G., Cass, G. R., &amp; Russell, A. G. (2007). Speciation of ambient fine organic carbon particles and source apportionment of PM2. 5 in Indian cities. </w:t>
      </w:r>
      <w:r w:rsidRPr="00597DC8">
        <w:rPr>
          <w:rFonts w:ascii="Times New Roman" w:hAnsi="Times New Roman" w:cs="Times New Roman"/>
          <w:iCs/>
          <w:noProof/>
          <w:sz w:val="24"/>
          <w:szCs w:val="24"/>
        </w:rPr>
        <w:t>Journal of Geophysical Research: Atmospheres</w:t>
      </w:r>
      <w:r w:rsidRPr="00597DC8">
        <w:rPr>
          <w:rFonts w:ascii="Times New Roman" w:hAnsi="Times New Roman" w:cs="Times New Roman"/>
          <w:noProof/>
          <w:sz w:val="24"/>
          <w:szCs w:val="24"/>
        </w:rPr>
        <w:t>, </w:t>
      </w:r>
      <w:r w:rsidRPr="00597DC8">
        <w:rPr>
          <w:rFonts w:ascii="Times New Roman" w:hAnsi="Times New Roman" w:cs="Times New Roman"/>
          <w:iCs/>
          <w:noProof/>
          <w:sz w:val="24"/>
          <w:szCs w:val="24"/>
        </w:rPr>
        <w:t>112</w:t>
      </w:r>
      <w:r w:rsidRPr="00597DC8">
        <w:rPr>
          <w:rFonts w:ascii="Times New Roman" w:hAnsi="Times New Roman" w:cs="Times New Roman"/>
          <w:noProof/>
          <w:sz w:val="24"/>
          <w:szCs w:val="24"/>
        </w:rPr>
        <w:t>(D15).</w:t>
      </w:r>
    </w:p>
    <w:p w14:paraId="067A5E0C"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Colbeck, I., Nasir, Z. A., &amp; Ali, Z. (2010). The state of indoor air quality in Pakistan—a review. Environmental Science and Pollution Research, 17, 1187-1196.</w:t>
      </w:r>
    </w:p>
    <w:p w14:paraId="1F76A098"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Comero, S., Capitani, L., &amp; Gawlik, B. M. (2009). Positive Matrix Factorisation (PMF). An introduction to the chemometric evaluation of environmental monitoring data using PMF, European Commission Joint Research Centre, Luxembourg: Office for Official Publications of the European Communities, 58.</w:t>
      </w:r>
    </w:p>
    <w:p w14:paraId="24FB9D78"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Daisey, J. M., Cheney, J. L., &amp; Lioy, P. J. (1986). Profiles of organic particulate emissions from air pollution sources: status and needs for receptor source apportionment modeling. Journal of the Air Pollution Control Association, 36(1), 17-33.</w:t>
      </w:r>
    </w:p>
    <w:p w14:paraId="28ECEC40" w14:textId="113452DC" w:rsidR="00AD769D"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Daly, A., &amp; Zannetti, P. (2007). Air pollution modeling–An overview. Ambient air pollution, 15-28.</w:t>
      </w:r>
    </w:p>
    <w:p w14:paraId="7591BA9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Derwent,  R.  G.,  Jenkin,  M.  E.,  Utembe,  S.  R.,  Shallcross, D. E., Murrells, T. P., and Passant, N.  R. (2010).  Secondary  organic aerosol formation from a large number of reactive man- made organic compounds, Sci. Total Environ., 408, 3374–3381, https://doi.org/10.1016/j.scitotenv.2010.04.013.</w:t>
      </w:r>
    </w:p>
    <w:p w14:paraId="72AFE89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De Gouw, J., Warneke, C., Holzinger, R., Klüpfel, T., &amp; Williams, J. (2004). Inter-comparison between airborne measurements of methanol, acetonitrile and acetone using two differently configured PTR-MS instruments. International Journal of Mass Spectrometry, 239(2-3), 129-137.</w:t>
      </w:r>
    </w:p>
    <w:p w14:paraId="617A58BF"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De Gouw, J., &amp; Warneke, C. (2007). Measurements of volatile organic compounds in the earth's atmosphere using proton‐transfer‐reaction mass spectrometry. Mass spectrometry reviews, 26(2), 223-257.</w:t>
      </w:r>
    </w:p>
    <w:p w14:paraId="13DE8E48" w14:textId="1374AC70" w:rsidR="00AD769D" w:rsidRPr="00F26949" w:rsidRDefault="00AD769D" w:rsidP="002D26AF">
      <w:pPr>
        <w:spacing w:line="360" w:lineRule="auto"/>
        <w:jc w:val="both"/>
        <w:rPr>
          <w:rFonts w:ascii="Times New Roman" w:hAnsi="Times New Roman" w:cs="Times New Roman"/>
          <w:sz w:val="24"/>
          <w:szCs w:val="24"/>
        </w:rPr>
      </w:pPr>
      <w:r w:rsidRPr="00AD769D">
        <w:rPr>
          <w:rFonts w:ascii="Times New Roman" w:hAnsi="Times New Roman" w:cs="Times New Roman"/>
          <w:sz w:val="24"/>
          <w:szCs w:val="24"/>
        </w:rPr>
        <w:t>Dey, S., &amp; Di Girolamo, L. (2010). A climatology of aerosol optical and microphysical properties over the Indian subcontinent from 9 years (2000–2008) of Multiangle Imaging Spectroradiometer (MISR) data. </w:t>
      </w:r>
      <w:r w:rsidRPr="00AD769D">
        <w:rPr>
          <w:rFonts w:ascii="Times New Roman" w:hAnsi="Times New Roman" w:cs="Times New Roman"/>
          <w:iCs/>
          <w:sz w:val="24"/>
          <w:szCs w:val="24"/>
        </w:rPr>
        <w:t>Journal of Geophysical Research: Atmospheres</w:t>
      </w:r>
      <w:r w:rsidRPr="00AD769D">
        <w:rPr>
          <w:rFonts w:ascii="Times New Roman" w:hAnsi="Times New Roman" w:cs="Times New Roman"/>
          <w:sz w:val="24"/>
          <w:szCs w:val="24"/>
        </w:rPr>
        <w:t>, </w:t>
      </w:r>
      <w:r w:rsidRPr="00AD769D">
        <w:rPr>
          <w:rFonts w:ascii="Times New Roman" w:hAnsi="Times New Roman" w:cs="Times New Roman"/>
          <w:iCs/>
          <w:sz w:val="24"/>
          <w:szCs w:val="24"/>
        </w:rPr>
        <w:t>115</w:t>
      </w:r>
      <w:r w:rsidRPr="00AD769D">
        <w:rPr>
          <w:rFonts w:ascii="Times New Roman" w:hAnsi="Times New Roman" w:cs="Times New Roman"/>
          <w:sz w:val="24"/>
          <w:szCs w:val="24"/>
        </w:rPr>
        <w:t>(D15).</w:t>
      </w:r>
    </w:p>
    <w:p w14:paraId="2DAB6F4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Duarte-Davidson, R., Courage, C., Rushton, L., &amp; Levy, L. (2001). Benzene in the environment: an assessment of the potential risks to the health of the population. Occupational and environmental medicine, 58(1), 2-13.</w:t>
      </w:r>
    </w:p>
    <w:p w14:paraId="27569184" w14:textId="77777777" w:rsidR="007C2D68"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Ensberg, J. J., Hayes, P. L., Jimenez, J. L., Gilman, J. B., Kuster, W. C., de Gouw, J. A., Holloway, J. S., Gordon, T. D., Jathar, S., Robinson, A. L., and Seinfeld, J. H. (2014). Emission factor ratios,  SOA  mass  yields,  and  the  impact  of  vehicular  emissions on SOA formation, Atmos. Chem. Phys., 14, 2383–2397, https://doi.org/10.5194/acp-14-2383-2014.</w:t>
      </w:r>
    </w:p>
    <w:p w14:paraId="2D278442" w14:textId="5F99B8E2"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Emami, F., &amp; Hopke, P. K. (2017). Effect of adding variables on rotational ambiguity in positive matrix factorization solutions. Chemometrics and Intelligent Laboratory Systems, 162, 198-202.</w:t>
      </w:r>
    </w:p>
    <w:p w14:paraId="60099C7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Emberson, L. D., Ashmore, M. R., Murray, F., Kuylenstierna, J. C. I., Percy, K. E., Izuta, T., ... &amp; Domingos, M. (2001). Impacts of air pollutants on vegetation in developing countries. Water, Air, and Soil Pollution, 130, 107-118.</w:t>
      </w:r>
    </w:p>
    <w:p w14:paraId="6BC4357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Ervens,   B.,   Feingold,   G.,   Frost,   G.   J.,   and   Kreidenweis, S. M. (2004). A modeling study of aqueous production of dicarboxylic acids: 1. Chemical pathways and speciated organic mass production, J. Geophys. Res. Atmos., 109, D15205, https://doi.org/10.1029/2003JD004387.</w:t>
      </w:r>
    </w:p>
    <w:p w14:paraId="6143942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Esmaeilirad, S., Lai, A., Abbaszade, G., Schnelle-Kreis, J., Zimmermann, R., Uzu, G., ... &amp; El Haddad, I. (2020). Source apportionment of fine particulate matter in a Middle Eastern Metropolis, Tehran-Iran, using PMF with organic and inorganic markers. Science of the Total Environment, 705, 135330.</w:t>
      </w:r>
    </w:p>
    <w:p w14:paraId="7896B2E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Ezzati, M., Utzinger, J., Cairncross, S., Cohen, A. J., &amp; Singer, B. H. (2005). Environmental risks in the developing world: exposure indicators for evaluating interventions, programmes, and policies. Journal of Epidemiology &amp; Community Health, 59(1), 15-22.</w:t>
      </w:r>
    </w:p>
    <w:p w14:paraId="4859CD2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Fierro, M. (2000). Particulate matter. Air Info Now, 1-11.</w:t>
      </w:r>
    </w:p>
    <w:p w14:paraId="3820934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Finlayson-Pitts, B. J., &amp; Pitts Jr, J. N. (1997). Tropospheric air pollution: ozone, airborne toxics, polycyclic aromatic hydrocarbons, and particles. Science, 276(5315), 1045-1051.</w:t>
      </w:r>
    </w:p>
    <w:p w14:paraId="54C0096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Fiore, A. M., Naik, V., &amp; Leibensperger, E. M. (2015). Air quality and climate connections. Journal of the Air &amp; Waste Management Association, 65(6), 645-685.</w:t>
      </w:r>
    </w:p>
    <w:p w14:paraId="6634933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Franchini, M., &amp; Mannucci, P. M. (2011). Thrombogenicity and cardiovascular effects of ambient air pollution. Blood, The Journal of the American Society of Hematology, 118(9), 2405-2412.</w:t>
      </w:r>
    </w:p>
    <w:p w14:paraId="0A01BCE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Franchini, M., Mengoli, C., Cruciani, M., Bonfanti, C., &amp; Mannucci, P. M. (2016). Association between particulate air pollution and venous thromboembolism: A systematic literature review. European journal of internal medicine, 27, 10-13.</w:t>
      </w:r>
    </w:p>
    <w:p w14:paraId="7FB84AF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Friedlander, Sheldon K. "Chemical element balances and identification of air pollution sources." Environmental science &amp; technology 7.3 (1973): 235-240.</w:t>
      </w:r>
    </w:p>
    <w:p w14:paraId="5C210B9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Friedrich, R., &amp; Obermeier, A. (1999). Anthropogenic emissions of volatile organic compounds. In Reactive hydrocarbons in the atmosphere (pp. 1-39). Academic Press.</w:t>
      </w:r>
    </w:p>
    <w:p w14:paraId="7AC7B29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Fuller, R., Landrigan, P. J., Balakrishnan, K., Bathan, G., Bose-O'Reilly, S., Brauer, M., ... &amp; Yan, C. (2022). Pollution and health: a progress update. The Lancet Planetary Health.</w:t>
      </w:r>
    </w:p>
    <w:p w14:paraId="5A1B574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Fullerton, D. G., Bruce, N., &amp; Gordon, S. B. (2008). Indoor air pollution from biomass fuel smoke is a major health concern in the developing world. Transactions of the Royal Society of Tropical Medicine and Hygiene, 102(9), 843-851.</w:t>
      </w:r>
    </w:p>
    <w:p w14:paraId="65EFDB30"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Gaimoz, C., Sauvage,  S.,  Gros,  V.,  Herrmann,  F.,  Williams, J., Locoge, N., Perrussel, O., Bonsang, B., d’Argouges, O., and Sarda-Estève, R. (2011).  Volatile  organic  compounds  sources in Paris in spring 2007.  Part  II:  source  apportionment  using positive matrix factorisation, Environ. Chem., 8, 91–103, https://doi.org/10.1071/EN10067.</w:t>
      </w:r>
    </w:p>
    <w:p w14:paraId="7674A81E" w14:textId="30E92F87" w:rsidR="00AF1484" w:rsidRDefault="00AF1484" w:rsidP="002D26AF">
      <w:pPr>
        <w:spacing w:line="360" w:lineRule="auto"/>
        <w:jc w:val="both"/>
        <w:rPr>
          <w:rFonts w:ascii="Times New Roman" w:hAnsi="Times New Roman" w:cs="Times New Roman"/>
          <w:sz w:val="24"/>
          <w:szCs w:val="24"/>
        </w:rPr>
      </w:pPr>
      <w:r w:rsidRPr="00AF1484">
        <w:rPr>
          <w:rFonts w:ascii="Times New Roman" w:hAnsi="Times New Roman" w:cs="Times New Roman"/>
          <w:sz w:val="24"/>
          <w:szCs w:val="24"/>
        </w:rPr>
        <w:lastRenderedPageBreak/>
        <w:t>Gaimoz, C., Sauvage, S., Gros, V., Herrmann, F., Williams, J., Locoge, N., ... &amp; Sciare, J. (2011). Volatile organic compounds sources in Paris in spring 2007. Part II: source apportionment using positive matrix factorisation. </w:t>
      </w:r>
      <w:r w:rsidRPr="00AF1484">
        <w:rPr>
          <w:rFonts w:ascii="Times New Roman" w:hAnsi="Times New Roman" w:cs="Times New Roman"/>
          <w:iCs/>
          <w:sz w:val="24"/>
          <w:szCs w:val="24"/>
        </w:rPr>
        <w:t>Environmental chemistry</w:t>
      </w:r>
      <w:r w:rsidRPr="00AF1484">
        <w:rPr>
          <w:rFonts w:ascii="Times New Roman" w:hAnsi="Times New Roman" w:cs="Times New Roman"/>
          <w:sz w:val="24"/>
          <w:szCs w:val="24"/>
        </w:rPr>
        <w:t>, </w:t>
      </w:r>
      <w:r w:rsidRPr="00AF1484">
        <w:rPr>
          <w:rFonts w:ascii="Times New Roman" w:hAnsi="Times New Roman" w:cs="Times New Roman"/>
          <w:iCs/>
          <w:sz w:val="24"/>
          <w:szCs w:val="24"/>
        </w:rPr>
        <w:t>8</w:t>
      </w:r>
      <w:r w:rsidRPr="00AF1484">
        <w:rPr>
          <w:rFonts w:ascii="Times New Roman" w:hAnsi="Times New Roman" w:cs="Times New Roman"/>
          <w:sz w:val="24"/>
          <w:szCs w:val="24"/>
        </w:rPr>
        <w:t>(1), 91-103.</w:t>
      </w:r>
    </w:p>
    <w:p w14:paraId="76F5DFE0" w14:textId="0DBB04BB" w:rsidR="00C608FF" w:rsidRPr="00F26949" w:rsidRDefault="00C608FF" w:rsidP="002D26AF">
      <w:pPr>
        <w:spacing w:line="360" w:lineRule="auto"/>
        <w:jc w:val="both"/>
        <w:rPr>
          <w:rFonts w:ascii="Times New Roman" w:hAnsi="Times New Roman" w:cs="Times New Roman"/>
          <w:sz w:val="24"/>
          <w:szCs w:val="24"/>
        </w:rPr>
      </w:pPr>
      <w:r w:rsidRPr="00C608FF">
        <w:rPr>
          <w:rFonts w:ascii="Times New Roman" w:hAnsi="Times New Roman" w:cs="Times New Roman"/>
          <w:sz w:val="24"/>
          <w:szCs w:val="24"/>
        </w:rPr>
        <w:t>Ganguly, T., Selvaraj, K. L., &amp; Guttikunda, S. K. (2020). National Clean Air Programme (NCAP) for Indian cities: review and outlook of clean air action plans. </w:t>
      </w:r>
      <w:r w:rsidRPr="00C608FF">
        <w:rPr>
          <w:rFonts w:ascii="Times New Roman" w:hAnsi="Times New Roman" w:cs="Times New Roman"/>
          <w:iCs/>
          <w:sz w:val="24"/>
          <w:szCs w:val="24"/>
        </w:rPr>
        <w:t>Atmospheric Environment: X</w:t>
      </w:r>
      <w:r w:rsidRPr="00C608FF">
        <w:rPr>
          <w:rFonts w:ascii="Times New Roman" w:hAnsi="Times New Roman" w:cs="Times New Roman"/>
          <w:sz w:val="24"/>
          <w:szCs w:val="24"/>
        </w:rPr>
        <w:t>, </w:t>
      </w:r>
      <w:r w:rsidRPr="00C608FF">
        <w:rPr>
          <w:rFonts w:ascii="Times New Roman" w:hAnsi="Times New Roman" w:cs="Times New Roman"/>
          <w:iCs/>
          <w:sz w:val="24"/>
          <w:szCs w:val="24"/>
        </w:rPr>
        <w:t>8</w:t>
      </w:r>
      <w:r w:rsidRPr="00C608FF">
        <w:rPr>
          <w:rFonts w:ascii="Times New Roman" w:hAnsi="Times New Roman" w:cs="Times New Roman"/>
          <w:sz w:val="24"/>
          <w:szCs w:val="24"/>
        </w:rPr>
        <w:t>, 100096.</w:t>
      </w:r>
    </w:p>
    <w:p w14:paraId="3DB8BA9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Garaga, R., Sahu, S. K., &amp; Kota, S. H. (2018). A review of air quality modeling studies in India: local and regional scale. Current Pollution Reports, 4, 59-73.</w:t>
      </w:r>
    </w:p>
    <w:p w14:paraId="72DA4FB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Ge, X., Wexler, A. S., &amp; Clegg, S. L. (2011). Atmospheric amines–Part I. A review. Atmospheric Environment, 45(3), 524-546.</w:t>
      </w:r>
    </w:p>
    <w:p w14:paraId="3C31607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Goddard, J. (2018). An Introduction to Earth's Atmosphere. (n.d.). United States: Callisto Reference.</w:t>
      </w:r>
    </w:p>
    <w:p w14:paraId="4D4FBE6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Gordon, G. E. (1988). Receptor models. Environmental science &amp; technology, 22(10), 1132-1142.</w:t>
      </w:r>
    </w:p>
    <w:p w14:paraId="07476BB4"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Granato, D., Santos, J. S., Escher, G. B., Ferreira, B. L., &amp; Maggio, R. M. (2018). Use of principal component analysis (PCA) and hierarchical cluster analysis (HCA) for multivariate association between bioactive compounds and functional properties in foods: A critical perspective. Trends in Food Science &amp; Technology, 72, 83-90.</w:t>
      </w:r>
    </w:p>
    <w:p w14:paraId="59FB9169" w14:textId="77777777" w:rsidR="002D26AF"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Guenther, A., Geron, C., Pierce, T., Lamb, B., Harley, P., &amp; Fall, R. (2000). Natural emissions of non-methane volatile organic compounds, carbon monoxide, and oxides of nitrogen from North America. Atmospheric Environment, 34(12-14), 2205-2230.</w:t>
      </w:r>
    </w:p>
    <w:p w14:paraId="7954AC63" w14:textId="77777777" w:rsidR="002B6A76" w:rsidRPr="002B6A76" w:rsidRDefault="002B6A76" w:rsidP="002B6A76">
      <w:pPr>
        <w:spacing w:line="360" w:lineRule="auto"/>
        <w:jc w:val="both"/>
        <w:rPr>
          <w:rFonts w:ascii="Times New Roman" w:hAnsi="Times New Roman" w:cs="Times New Roman"/>
          <w:noProof/>
          <w:sz w:val="24"/>
          <w:szCs w:val="24"/>
        </w:rPr>
      </w:pPr>
      <w:r w:rsidRPr="002B6A76">
        <w:rPr>
          <w:rFonts w:ascii="Times New Roman" w:hAnsi="Times New Roman" w:cs="Times New Roman"/>
          <w:noProof/>
          <w:sz w:val="24"/>
          <w:szCs w:val="24"/>
        </w:rPr>
        <w:t>Guha, A., Gentner, D. R., Weber, R. J., Provencal, R., &amp; Goldstein, A. (2015). Source apportionment of methane and nitrous oxide in California's San Joaquin Valley at CalNex 2010 via positive matrix factorization. </w:t>
      </w:r>
      <w:r w:rsidRPr="002B6A76">
        <w:rPr>
          <w:rFonts w:ascii="Times New Roman" w:hAnsi="Times New Roman" w:cs="Times New Roman"/>
          <w:iCs/>
          <w:noProof/>
          <w:sz w:val="24"/>
          <w:szCs w:val="24"/>
        </w:rPr>
        <w:t>Atmospheric Chemistry and Physics</w:t>
      </w:r>
      <w:r w:rsidRPr="002B6A76">
        <w:rPr>
          <w:rFonts w:ascii="Times New Roman" w:hAnsi="Times New Roman" w:cs="Times New Roman"/>
          <w:noProof/>
          <w:sz w:val="24"/>
          <w:szCs w:val="24"/>
        </w:rPr>
        <w:t>, </w:t>
      </w:r>
      <w:r w:rsidRPr="002B6A76">
        <w:rPr>
          <w:rFonts w:ascii="Times New Roman" w:hAnsi="Times New Roman" w:cs="Times New Roman"/>
          <w:iCs/>
          <w:noProof/>
          <w:sz w:val="24"/>
          <w:szCs w:val="24"/>
        </w:rPr>
        <w:t>15</w:t>
      </w:r>
      <w:r w:rsidRPr="002B6A76">
        <w:rPr>
          <w:rFonts w:ascii="Times New Roman" w:hAnsi="Times New Roman" w:cs="Times New Roman"/>
          <w:noProof/>
          <w:sz w:val="24"/>
          <w:szCs w:val="24"/>
        </w:rPr>
        <w:t>(20), 12043-12063.</w:t>
      </w:r>
    </w:p>
    <w:p w14:paraId="1984EAAC" w14:textId="4F3B9C26" w:rsidR="002B6A76" w:rsidRPr="00F26949" w:rsidRDefault="002B6A76" w:rsidP="002D26AF">
      <w:pPr>
        <w:spacing w:line="360" w:lineRule="auto"/>
        <w:jc w:val="both"/>
        <w:rPr>
          <w:rFonts w:ascii="Times New Roman" w:hAnsi="Times New Roman" w:cs="Times New Roman"/>
          <w:noProof/>
          <w:sz w:val="24"/>
          <w:szCs w:val="24"/>
        </w:rPr>
      </w:pPr>
      <w:r w:rsidRPr="002B6A76">
        <w:rPr>
          <w:rFonts w:ascii="Times New Roman" w:hAnsi="Times New Roman" w:cs="Times New Roman"/>
          <w:noProof/>
          <w:sz w:val="24"/>
          <w:szCs w:val="24"/>
        </w:rPr>
        <w:t>Gummeneni, S., Yusup, Y. B., Chavali, M., &amp; Samadi, S. Z. (2011). Source apportionment of particulate matter in the ambient air of Hyderabad city, India. </w:t>
      </w:r>
      <w:r w:rsidRPr="002B6A76">
        <w:rPr>
          <w:rFonts w:ascii="Times New Roman" w:hAnsi="Times New Roman" w:cs="Times New Roman"/>
          <w:iCs/>
          <w:noProof/>
          <w:sz w:val="24"/>
          <w:szCs w:val="24"/>
        </w:rPr>
        <w:t>Atmospheric Research</w:t>
      </w:r>
      <w:r w:rsidRPr="002B6A76">
        <w:rPr>
          <w:rFonts w:ascii="Times New Roman" w:hAnsi="Times New Roman" w:cs="Times New Roman"/>
          <w:noProof/>
          <w:sz w:val="24"/>
          <w:szCs w:val="24"/>
        </w:rPr>
        <w:t>, </w:t>
      </w:r>
      <w:r w:rsidRPr="002B6A76">
        <w:rPr>
          <w:rFonts w:ascii="Times New Roman" w:hAnsi="Times New Roman" w:cs="Times New Roman"/>
          <w:iCs/>
          <w:noProof/>
          <w:sz w:val="24"/>
          <w:szCs w:val="24"/>
        </w:rPr>
        <w:t>101</w:t>
      </w:r>
      <w:r w:rsidRPr="002B6A76">
        <w:rPr>
          <w:rFonts w:ascii="Times New Roman" w:hAnsi="Times New Roman" w:cs="Times New Roman"/>
          <w:noProof/>
          <w:sz w:val="24"/>
          <w:szCs w:val="24"/>
        </w:rPr>
        <w:t>(3), 752-764.</w:t>
      </w:r>
    </w:p>
    <w:p w14:paraId="23064BC1"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lastRenderedPageBreak/>
        <w:t>Guo, H., Ding, A. J., So, K. L., Ayoko, G., Li, Y. S., &amp; Hung, W. T. (2009). Receptor modeling of source apportionment of Hong Kong aerosols and the implication of urban and regional contribution. Atmospheric Environment, 43(6), 1159-1169.</w:t>
      </w:r>
    </w:p>
    <w:p w14:paraId="4394E016"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Guo, H., Kota, S. H., Sahu, S. K., Hu, J., Ying, Q., Gao, A., &amp; Zhang, H. (2017). Source apportionment of PM2. 5 in North India using source-oriented air quality models. Environmental Pollution, 231, 426-436.</w:t>
      </w:r>
    </w:p>
    <w:p w14:paraId="416595F1"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Guo, H., Sahu, S. K., Kota, S. H., &amp; Zhang, H. (2019). Characterization and health risks of criteria air pollutants in Delhi, 2017. Chemosphere, 225, 27-34.</w:t>
      </w:r>
    </w:p>
    <w:p w14:paraId="7136123E" w14:textId="77777777" w:rsidR="002D26AF"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Guo, X., Zuo, R., Shan, D., Cao, Y., Wang, J., Teng, Y., ... &amp; Zheng, B. (2017). Source apportionment of pollution in groundwater source area using factor analysis and positive matrix factorization methods. Human and Ecological Risk Assessment: An International Journal, 23(6), 1417-1436.</w:t>
      </w:r>
    </w:p>
    <w:p w14:paraId="2FF29780" w14:textId="77777777" w:rsidR="00DE1060" w:rsidRPr="00DE1060" w:rsidRDefault="00DE1060" w:rsidP="00DE1060">
      <w:pPr>
        <w:spacing w:line="360" w:lineRule="auto"/>
        <w:jc w:val="both"/>
        <w:rPr>
          <w:rFonts w:ascii="Times New Roman" w:hAnsi="Times New Roman" w:cs="Times New Roman"/>
          <w:noProof/>
          <w:sz w:val="24"/>
          <w:szCs w:val="24"/>
        </w:rPr>
      </w:pPr>
      <w:r w:rsidRPr="00DE1060">
        <w:rPr>
          <w:rFonts w:ascii="Times New Roman" w:hAnsi="Times New Roman" w:cs="Times New Roman"/>
          <w:noProof/>
          <w:sz w:val="24"/>
          <w:szCs w:val="24"/>
        </w:rPr>
        <w:t>Gupta, A. K., Karar, K., &amp; Srivastava, A. (2007). Chemical mass balance source apportionment of PM10 and TSP in residential and industrial sites of an urban region of Kolkata, India. </w:t>
      </w:r>
      <w:r w:rsidRPr="00DE1060">
        <w:rPr>
          <w:rFonts w:ascii="Times New Roman" w:hAnsi="Times New Roman" w:cs="Times New Roman"/>
          <w:iCs/>
          <w:noProof/>
          <w:sz w:val="24"/>
          <w:szCs w:val="24"/>
        </w:rPr>
        <w:t>Journal of hazardous materials</w:t>
      </w:r>
      <w:r w:rsidRPr="00DE1060">
        <w:rPr>
          <w:rFonts w:ascii="Times New Roman" w:hAnsi="Times New Roman" w:cs="Times New Roman"/>
          <w:noProof/>
          <w:sz w:val="24"/>
          <w:szCs w:val="24"/>
        </w:rPr>
        <w:t>, </w:t>
      </w:r>
      <w:r w:rsidRPr="00DE1060">
        <w:rPr>
          <w:rFonts w:ascii="Times New Roman" w:hAnsi="Times New Roman" w:cs="Times New Roman"/>
          <w:iCs/>
          <w:noProof/>
          <w:sz w:val="24"/>
          <w:szCs w:val="24"/>
        </w:rPr>
        <w:t>142</w:t>
      </w:r>
      <w:r w:rsidRPr="00DE1060">
        <w:rPr>
          <w:rFonts w:ascii="Times New Roman" w:hAnsi="Times New Roman" w:cs="Times New Roman"/>
          <w:noProof/>
          <w:sz w:val="24"/>
          <w:szCs w:val="24"/>
        </w:rPr>
        <w:t>(1-2), 279-287.</w:t>
      </w:r>
    </w:p>
    <w:p w14:paraId="7D0F7866" w14:textId="3B940128" w:rsidR="00DE1060" w:rsidRPr="00F26949" w:rsidRDefault="00DE1060" w:rsidP="002D26AF">
      <w:pPr>
        <w:spacing w:line="360" w:lineRule="auto"/>
        <w:jc w:val="both"/>
        <w:rPr>
          <w:rFonts w:ascii="Times New Roman" w:hAnsi="Times New Roman" w:cs="Times New Roman"/>
          <w:noProof/>
          <w:sz w:val="24"/>
          <w:szCs w:val="24"/>
        </w:rPr>
      </w:pPr>
      <w:r w:rsidRPr="00DE1060">
        <w:rPr>
          <w:rFonts w:ascii="Times New Roman" w:hAnsi="Times New Roman" w:cs="Times New Roman"/>
          <w:noProof/>
          <w:sz w:val="24"/>
          <w:szCs w:val="24"/>
        </w:rPr>
        <w:t>Gupta, I., Salunkhe, A., &amp; Kumar, R. (2012). Source apportionment of PM10 by positive matrix factorization in urban area of Mumbai, India. </w:t>
      </w:r>
      <w:r w:rsidRPr="00DE1060">
        <w:rPr>
          <w:rFonts w:ascii="Times New Roman" w:hAnsi="Times New Roman" w:cs="Times New Roman"/>
          <w:iCs/>
          <w:noProof/>
          <w:sz w:val="24"/>
          <w:szCs w:val="24"/>
        </w:rPr>
        <w:t>The Scientific World Journal</w:t>
      </w:r>
      <w:r w:rsidRPr="00DE1060">
        <w:rPr>
          <w:rFonts w:ascii="Times New Roman" w:hAnsi="Times New Roman" w:cs="Times New Roman"/>
          <w:noProof/>
          <w:sz w:val="24"/>
          <w:szCs w:val="24"/>
        </w:rPr>
        <w:t>, </w:t>
      </w:r>
      <w:r w:rsidRPr="00DE1060">
        <w:rPr>
          <w:rFonts w:ascii="Times New Roman" w:hAnsi="Times New Roman" w:cs="Times New Roman"/>
          <w:iCs/>
          <w:noProof/>
          <w:sz w:val="24"/>
          <w:szCs w:val="24"/>
        </w:rPr>
        <w:t>2012</w:t>
      </w:r>
      <w:r w:rsidRPr="00DE1060">
        <w:rPr>
          <w:rFonts w:ascii="Times New Roman" w:hAnsi="Times New Roman" w:cs="Times New Roman"/>
          <w:noProof/>
          <w:sz w:val="24"/>
          <w:szCs w:val="24"/>
        </w:rPr>
        <w:t>.</w:t>
      </w:r>
    </w:p>
    <w:p w14:paraId="4266D09B" w14:textId="77777777" w:rsidR="002D26AF"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Gurjar, B. R., Jain, A., Sharma, A., Agarwal, A., Gupta, P., Nagpure, A. S., &amp; Lelieveld, J. (2010). Human health risks in megacities due to air pollution. Atmospheric Environment, 44(36), 4606-4613.</w:t>
      </w:r>
    </w:p>
    <w:p w14:paraId="6A3B9915" w14:textId="77777777" w:rsidR="007345B1" w:rsidRPr="007345B1" w:rsidRDefault="007345B1" w:rsidP="007345B1">
      <w:pPr>
        <w:spacing w:line="360" w:lineRule="auto"/>
        <w:jc w:val="both"/>
        <w:rPr>
          <w:rFonts w:ascii="Times New Roman" w:hAnsi="Times New Roman" w:cs="Times New Roman"/>
          <w:noProof/>
          <w:sz w:val="24"/>
          <w:szCs w:val="24"/>
        </w:rPr>
      </w:pPr>
      <w:r w:rsidRPr="007345B1">
        <w:rPr>
          <w:rFonts w:ascii="Times New Roman" w:hAnsi="Times New Roman" w:cs="Times New Roman"/>
          <w:noProof/>
          <w:sz w:val="24"/>
          <w:szCs w:val="24"/>
        </w:rPr>
        <w:t>Gurjar, B. R., Ravindra, K., &amp; Nagpure, A. S. (2016). Air pollution trends over Indian megacities and their local-to-global implications. </w:t>
      </w:r>
      <w:r w:rsidRPr="007345B1">
        <w:rPr>
          <w:rFonts w:ascii="Times New Roman" w:hAnsi="Times New Roman" w:cs="Times New Roman"/>
          <w:iCs/>
          <w:noProof/>
          <w:sz w:val="24"/>
          <w:szCs w:val="24"/>
        </w:rPr>
        <w:t>Atmospheric Environment</w:t>
      </w:r>
      <w:r w:rsidRPr="007345B1">
        <w:rPr>
          <w:rFonts w:ascii="Times New Roman" w:hAnsi="Times New Roman" w:cs="Times New Roman"/>
          <w:noProof/>
          <w:sz w:val="24"/>
          <w:szCs w:val="24"/>
        </w:rPr>
        <w:t>, </w:t>
      </w:r>
      <w:r w:rsidRPr="007345B1">
        <w:rPr>
          <w:rFonts w:ascii="Times New Roman" w:hAnsi="Times New Roman" w:cs="Times New Roman"/>
          <w:iCs/>
          <w:noProof/>
          <w:sz w:val="24"/>
          <w:szCs w:val="24"/>
        </w:rPr>
        <w:t>142</w:t>
      </w:r>
      <w:r w:rsidRPr="007345B1">
        <w:rPr>
          <w:rFonts w:ascii="Times New Roman" w:hAnsi="Times New Roman" w:cs="Times New Roman"/>
          <w:noProof/>
          <w:sz w:val="24"/>
          <w:szCs w:val="24"/>
        </w:rPr>
        <w:t>, 475-495.</w:t>
      </w:r>
    </w:p>
    <w:p w14:paraId="0B6C979E" w14:textId="77777777" w:rsidR="007345B1" w:rsidRPr="007345B1" w:rsidRDefault="007345B1" w:rsidP="007345B1">
      <w:pPr>
        <w:spacing w:line="360" w:lineRule="auto"/>
        <w:jc w:val="both"/>
        <w:rPr>
          <w:rFonts w:ascii="Times New Roman" w:hAnsi="Times New Roman" w:cs="Times New Roman"/>
          <w:noProof/>
          <w:sz w:val="24"/>
          <w:szCs w:val="24"/>
        </w:rPr>
      </w:pPr>
      <w:bookmarkStart w:id="90" w:name="_Hlk124767594"/>
      <w:r w:rsidRPr="007345B1">
        <w:rPr>
          <w:rFonts w:ascii="Times New Roman" w:hAnsi="Times New Roman" w:cs="Times New Roman"/>
          <w:noProof/>
          <w:sz w:val="24"/>
          <w:szCs w:val="24"/>
        </w:rPr>
        <w:t>Guttikunda</w:t>
      </w:r>
      <w:bookmarkEnd w:id="90"/>
      <w:r w:rsidRPr="007345B1">
        <w:rPr>
          <w:rFonts w:ascii="Times New Roman" w:hAnsi="Times New Roman" w:cs="Times New Roman"/>
          <w:noProof/>
          <w:sz w:val="24"/>
          <w:szCs w:val="24"/>
        </w:rPr>
        <w:t>, S. K., Goel, R., &amp; Pant, P. (2014). Nature of air pollution, emission sources, and management in the Indian cities. </w:t>
      </w:r>
      <w:r w:rsidRPr="007345B1">
        <w:rPr>
          <w:rFonts w:ascii="Times New Roman" w:hAnsi="Times New Roman" w:cs="Times New Roman"/>
          <w:iCs/>
          <w:noProof/>
          <w:sz w:val="24"/>
          <w:szCs w:val="24"/>
        </w:rPr>
        <w:t>Atmospheric environment</w:t>
      </w:r>
      <w:r w:rsidRPr="007345B1">
        <w:rPr>
          <w:rFonts w:ascii="Times New Roman" w:hAnsi="Times New Roman" w:cs="Times New Roman"/>
          <w:noProof/>
          <w:sz w:val="24"/>
          <w:szCs w:val="24"/>
        </w:rPr>
        <w:t>, </w:t>
      </w:r>
      <w:r w:rsidRPr="007345B1">
        <w:rPr>
          <w:rFonts w:ascii="Times New Roman" w:hAnsi="Times New Roman" w:cs="Times New Roman"/>
          <w:iCs/>
          <w:noProof/>
          <w:sz w:val="24"/>
          <w:szCs w:val="24"/>
        </w:rPr>
        <w:t>95</w:t>
      </w:r>
      <w:r w:rsidRPr="007345B1">
        <w:rPr>
          <w:rFonts w:ascii="Times New Roman" w:hAnsi="Times New Roman" w:cs="Times New Roman"/>
          <w:noProof/>
          <w:sz w:val="24"/>
          <w:szCs w:val="24"/>
        </w:rPr>
        <w:t>, 501-510.</w:t>
      </w:r>
    </w:p>
    <w:p w14:paraId="6F3EB5AE" w14:textId="2DB88D11" w:rsidR="007345B1" w:rsidRPr="00F26949" w:rsidRDefault="007345B1" w:rsidP="002D26AF">
      <w:pPr>
        <w:spacing w:line="360" w:lineRule="auto"/>
        <w:jc w:val="both"/>
        <w:rPr>
          <w:rFonts w:ascii="Times New Roman" w:hAnsi="Times New Roman" w:cs="Times New Roman"/>
          <w:noProof/>
          <w:sz w:val="24"/>
          <w:szCs w:val="24"/>
        </w:rPr>
      </w:pPr>
      <w:r w:rsidRPr="007345B1">
        <w:rPr>
          <w:rFonts w:ascii="Times New Roman" w:hAnsi="Times New Roman" w:cs="Times New Roman"/>
          <w:noProof/>
          <w:sz w:val="24"/>
          <w:szCs w:val="24"/>
        </w:rPr>
        <w:t>Guttikunda, S., &amp; Nishadh, K. A. (2022). Evolution of India's PM 2.5 pollution between 1998 and 2020 using global reanalysis fields coupled with satellite observations and fuel consumption patterns. </w:t>
      </w:r>
      <w:r w:rsidRPr="007345B1">
        <w:rPr>
          <w:rFonts w:ascii="Times New Roman" w:hAnsi="Times New Roman" w:cs="Times New Roman"/>
          <w:iCs/>
          <w:noProof/>
          <w:sz w:val="24"/>
          <w:szCs w:val="24"/>
        </w:rPr>
        <w:t>Environmental Science: Atmospheres</w:t>
      </w:r>
      <w:r w:rsidRPr="007345B1">
        <w:rPr>
          <w:rFonts w:ascii="Times New Roman" w:hAnsi="Times New Roman" w:cs="Times New Roman"/>
          <w:noProof/>
          <w:sz w:val="24"/>
          <w:szCs w:val="24"/>
        </w:rPr>
        <w:t>, </w:t>
      </w:r>
      <w:r w:rsidRPr="007345B1">
        <w:rPr>
          <w:rFonts w:ascii="Times New Roman" w:hAnsi="Times New Roman" w:cs="Times New Roman"/>
          <w:iCs/>
          <w:noProof/>
          <w:sz w:val="24"/>
          <w:szCs w:val="24"/>
        </w:rPr>
        <w:t>2</w:t>
      </w:r>
      <w:r w:rsidRPr="007345B1">
        <w:rPr>
          <w:rFonts w:ascii="Times New Roman" w:hAnsi="Times New Roman" w:cs="Times New Roman"/>
          <w:noProof/>
          <w:sz w:val="24"/>
          <w:szCs w:val="24"/>
        </w:rPr>
        <w:t>(6), 1502-1515.</w:t>
      </w:r>
    </w:p>
    <w:p w14:paraId="7D5D9C5A"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Guttikunda, S. (2012). Air pollution in Delhi. Economic and Political Weekly, 47 (26/27), 24-27.</w:t>
      </w:r>
    </w:p>
    <w:p w14:paraId="0B4424E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Gylestam, D., Karlsson, D., Dalene, M., &amp; Skarping, G. (2011). Determination of gas phase isocyanates using proton transfer reaction mass spectrometry. Analytical Chemistry Letters, 1(4), 261-271.</w:t>
      </w:r>
    </w:p>
    <w:p w14:paraId="5049783B"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Haagen-Smit, A. J. (1952). Chemistry and physiology of Los Angeles smog. Industrial &amp; Engineering Chemistry, 44(6), 1342-1346.</w:t>
      </w:r>
    </w:p>
    <w:p w14:paraId="592BD142" w14:textId="68F0D81F" w:rsidR="00C85ED2" w:rsidRPr="00F26949" w:rsidRDefault="00C85ED2" w:rsidP="002D26AF">
      <w:pPr>
        <w:spacing w:line="360" w:lineRule="auto"/>
        <w:jc w:val="both"/>
        <w:rPr>
          <w:rFonts w:ascii="Times New Roman" w:hAnsi="Times New Roman" w:cs="Times New Roman"/>
          <w:sz w:val="24"/>
          <w:szCs w:val="24"/>
        </w:rPr>
      </w:pPr>
      <w:r w:rsidRPr="00C85ED2">
        <w:rPr>
          <w:rFonts w:ascii="Times New Roman" w:hAnsi="Times New Roman" w:cs="Times New Roman"/>
          <w:sz w:val="24"/>
          <w:szCs w:val="24"/>
        </w:rPr>
        <w:t>Hammer, M. S., van Donkelaar, A., Li, C., Lyapustin, A., Sayer, A. M., Hsu, N. C., ... &amp; Martin, R. V. (2020). Global estimates and long-term trends of fine particulate matter concentrations (1998–2018). </w:t>
      </w:r>
      <w:r w:rsidRPr="00C85ED2">
        <w:rPr>
          <w:rFonts w:ascii="Times New Roman" w:hAnsi="Times New Roman" w:cs="Times New Roman"/>
          <w:iCs/>
          <w:sz w:val="24"/>
          <w:szCs w:val="24"/>
        </w:rPr>
        <w:t>Environmental Science &amp; Technology</w:t>
      </w:r>
      <w:r w:rsidRPr="00C85ED2">
        <w:rPr>
          <w:rFonts w:ascii="Times New Roman" w:hAnsi="Times New Roman" w:cs="Times New Roman"/>
          <w:sz w:val="24"/>
          <w:szCs w:val="24"/>
        </w:rPr>
        <w:t>, </w:t>
      </w:r>
      <w:r w:rsidRPr="00C85ED2">
        <w:rPr>
          <w:rFonts w:ascii="Times New Roman" w:hAnsi="Times New Roman" w:cs="Times New Roman"/>
          <w:iCs/>
          <w:sz w:val="24"/>
          <w:szCs w:val="24"/>
        </w:rPr>
        <w:t>54</w:t>
      </w:r>
      <w:r w:rsidRPr="00C85ED2">
        <w:rPr>
          <w:rFonts w:ascii="Times New Roman" w:hAnsi="Times New Roman" w:cs="Times New Roman"/>
          <w:sz w:val="24"/>
          <w:szCs w:val="24"/>
        </w:rPr>
        <w:t>(13), 7879-7890.</w:t>
      </w:r>
    </w:p>
    <w:p w14:paraId="2D964AF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Harrison, R. M., Smith, D. J. T., Piou, C. A., &amp; Castro, L. M. (1997). Comparative receptor modelling study of airborne particulate pollutants in Birmingham (United Kingdom), Coimbra (Portugal) and Lahore (Pakistan). Atmospheric Environment, 31(20), 3309-3321.</w:t>
      </w:r>
    </w:p>
    <w:p w14:paraId="79C7F12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Hasan, N. H., Said, M., &amp; Leman, A. (2013). Health effect from volatile organic compounds and useful tools for future prevention: a review. Int J Environ Eng Sci Technol Res, 1(2), 28-36.</w:t>
      </w:r>
    </w:p>
    <w:p w14:paraId="067A4653"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Haszpra, L., &amp; Szilagyi, I. (1994). Non-methane hydrocarbon composition of car exhaust in Hungary. Atmospheric Environment, 28(16), 2609-2614.</w:t>
      </w:r>
    </w:p>
    <w:p w14:paraId="1BE88EA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He, T., Yang, Z., Liu, T., Shen, Y., Fu, X., Qian, X., ... &amp; Tang, J. (2016). Ambient air pollution and years of life lost in Ningbo, China. Scientific reports, 6(1), 22485.</w:t>
      </w:r>
    </w:p>
    <w:p w14:paraId="43B4A45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Helmig, D., Bottenheim, J., Galbally, I. E., Lewis, A., Milton, M. J., Penkett, S., ... &amp; Thiel, S. (2009). Volatile organic compounds in the global atmosphere. Eos, Transactions American Geophysical Union, 90(52), 513-514.</w:t>
      </w:r>
    </w:p>
    <w:p w14:paraId="041135A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Henschel, S., &amp; Chan, G. (2013). Health risks of air pollution in Europe—HRAPIE project. Copenhagen, Denmark: World Health Organization.</w:t>
      </w:r>
    </w:p>
    <w:p w14:paraId="234453A3"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Henry, R. C., Lewis, C. W., Hopke, P. K., &amp; Williamson, H. J. (1984). Review of receptor model fundamentals. Atmospheric Environment (1967), 18(8), 1507-1515.</w:t>
      </w:r>
    </w:p>
    <w:p w14:paraId="0F49536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Henry, R. C. (1991). Multivariate receptor models. Receptor modeling for air quality management, 1, 117-147.</w:t>
      </w:r>
    </w:p>
    <w:p w14:paraId="0B108ECD"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lastRenderedPageBreak/>
        <w:t>Henry, R. C. (2003). Multivariate receptor modeling by N-dimensional edge detection. Chemometrics and intelligent laboratory systems, 65(2), 179-189.</w:t>
      </w:r>
    </w:p>
    <w:p w14:paraId="15430ACB"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Ho, K., Lee, S., Guo, H., and Tsai, W. (2004). Seasonal and diurnal variations of volatile organic compounds (VOCs) in the atmosphere of Hong Kong, Sci. Total Environ., 322, 155–166, https://doi.org/10.1016/j.scitotenv.2003.10.004.</w:t>
      </w:r>
    </w:p>
    <w:p w14:paraId="0190B565" w14:textId="48430791" w:rsidR="0074005D" w:rsidRPr="00F26949" w:rsidRDefault="0074005D" w:rsidP="002D26AF">
      <w:pPr>
        <w:spacing w:line="360" w:lineRule="auto"/>
        <w:jc w:val="both"/>
        <w:rPr>
          <w:rFonts w:ascii="Times New Roman" w:hAnsi="Times New Roman" w:cs="Times New Roman"/>
          <w:sz w:val="24"/>
          <w:szCs w:val="24"/>
        </w:rPr>
      </w:pPr>
      <w:r w:rsidRPr="0074005D">
        <w:rPr>
          <w:rFonts w:ascii="Times New Roman" w:hAnsi="Times New Roman" w:cs="Times New Roman"/>
          <w:sz w:val="24"/>
          <w:szCs w:val="24"/>
        </w:rPr>
        <w:t>Holzinger, R., Warneke, C., Hansel, A., Jordan, A., Lindinger, W., Scharffe, D. H., ... &amp; Crutzen, P. J. (1999). Biomass burning as a source of formaldehyde, acetaldehyde, methanol, acetone, acetonitrile, and hydrogen cyanide. </w:t>
      </w:r>
      <w:r w:rsidRPr="0074005D">
        <w:rPr>
          <w:rFonts w:ascii="Times New Roman" w:hAnsi="Times New Roman" w:cs="Times New Roman"/>
          <w:iCs/>
          <w:sz w:val="24"/>
          <w:szCs w:val="24"/>
        </w:rPr>
        <w:t>Geophysical Research Letters</w:t>
      </w:r>
      <w:r w:rsidRPr="0074005D">
        <w:rPr>
          <w:rFonts w:ascii="Times New Roman" w:hAnsi="Times New Roman" w:cs="Times New Roman"/>
          <w:sz w:val="24"/>
          <w:szCs w:val="24"/>
        </w:rPr>
        <w:t>, </w:t>
      </w:r>
      <w:r w:rsidRPr="0074005D">
        <w:rPr>
          <w:rFonts w:ascii="Times New Roman" w:hAnsi="Times New Roman" w:cs="Times New Roman"/>
          <w:iCs/>
          <w:sz w:val="24"/>
          <w:szCs w:val="24"/>
        </w:rPr>
        <w:t>26</w:t>
      </w:r>
      <w:r w:rsidRPr="0074005D">
        <w:rPr>
          <w:rFonts w:ascii="Times New Roman" w:hAnsi="Times New Roman" w:cs="Times New Roman"/>
          <w:sz w:val="24"/>
          <w:szCs w:val="24"/>
        </w:rPr>
        <w:t>(8), 1161-1164.</w:t>
      </w:r>
    </w:p>
    <w:p w14:paraId="4801C9B0"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Hopke, P. K. (1985). Receptor modeling in environmental chemistry. John Wiley &amp; Sons.</w:t>
      </w:r>
    </w:p>
    <w:p w14:paraId="07A34AC5"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Hopke, P. K. (Ed.). (1991). Receptor modeling for air quality management. Elsevier.</w:t>
      </w:r>
    </w:p>
    <w:p w14:paraId="1E781546"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Hopke, P. K. (2000, February). A guide to positive matrix factorization. In Workshop on UNMIX and PMF as Applied to PM2 (Vol. 5, No. 5, p. 600).</w:t>
      </w:r>
    </w:p>
    <w:p w14:paraId="7FD4F09F" w14:textId="77777777" w:rsidR="002D26AF" w:rsidRPr="00F26949" w:rsidRDefault="002D26AF" w:rsidP="002D26AF">
      <w:pPr>
        <w:spacing w:line="360" w:lineRule="auto"/>
        <w:jc w:val="both"/>
        <w:rPr>
          <w:rFonts w:ascii="Times New Roman" w:hAnsi="Times New Roman" w:cs="Times New Roman"/>
          <w:noProof/>
          <w:sz w:val="24"/>
          <w:szCs w:val="24"/>
        </w:rPr>
      </w:pPr>
      <w:r w:rsidRPr="00F26949">
        <w:rPr>
          <w:rFonts w:ascii="Times New Roman" w:hAnsi="Times New Roman" w:cs="Times New Roman"/>
          <w:noProof/>
          <w:sz w:val="24"/>
          <w:szCs w:val="24"/>
        </w:rPr>
        <w:t>Hopke, P. K. (2003). Recent developments in receptor modeling. Journal of Chemometrics: A Journal of the Chemometrics Society, 17(5), 255-265.</w:t>
      </w:r>
    </w:p>
    <w:p w14:paraId="27200DE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Hopke, P. (2016). Review of receptor modeling methods for source apportionment, J. Air Waste Manage., 66, 237–259, https://doi.org/10.1080/10962247.2016.1140693.</w:t>
      </w:r>
    </w:p>
    <w:p w14:paraId="13C33B34"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Hopke, P. K., Dai, Q., Li, L., &amp; Feng, Y. (2020). Global review of recent source apportionments for airborne particulate matter. Science of The Total Environment, 740, 140091.</w:t>
      </w:r>
    </w:p>
    <w:p w14:paraId="4AC726C4" w14:textId="30BD3AF3" w:rsidR="000904F7" w:rsidRPr="00F26949" w:rsidRDefault="000904F7" w:rsidP="002D26AF">
      <w:pPr>
        <w:spacing w:line="360" w:lineRule="auto"/>
        <w:jc w:val="both"/>
        <w:rPr>
          <w:rFonts w:ascii="Times New Roman" w:hAnsi="Times New Roman" w:cs="Times New Roman"/>
          <w:sz w:val="24"/>
          <w:szCs w:val="24"/>
        </w:rPr>
      </w:pPr>
      <w:r w:rsidRPr="000904F7">
        <w:rPr>
          <w:rFonts w:ascii="Times New Roman" w:hAnsi="Times New Roman" w:cs="Times New Roman"/>
          <w:sz w:val="24"/>
          <w:szCs w:val="24"/>
        </w:rPr>
        <w:t>Huang, X. F., Wang, C., Zhu, B., Lin, L. L., &amp; He, L. Y. (2019). Exploration of sources of OVOCs in various atmospheres in southern China. </w:t>
      </w:r>
      <w:r w:rsidRPr="000904F7">
        <w:rPr>
          <w:rFonts w:ascii="Times New Roman" w:hAnsi="Times New Roman" w:cs="Times New Roman"/>
          <w:iCs/>
          <w:sz w:val="24"/>
          <w:szCs w:val="24"/>
        </w:rPr>
        <w:t>Environmental Pollution</w:t>
      </w:r>
      <w:r w:rsidRPr="000904F7">
        <w:rPr>
          <w:rFonts w:ascii="Times New Roman" w:hAnsi="Times New Roman" w:cs="Times New Roman"/>
          <w:sz w:val="24"/>
          <w:szCs w:val="24"/>
        </w:rPr>
        <w:t>, </w:t>
      </w:r>
      <w:r w:rsidRPr="000904F7">
        <w:rPr>
          <w:rFonts w:ascii="Times New Roman" w:hAnsi="Times New Roman" w:cs="Times New Roman"/>
          <w:iCs/>
          <w:sz w:val="24"/>
          <w:szCs w:val="24"/>
        </w:rPr>
        <w:t>249</w:t>
      </w:r>
      <w:r w:rsidRPr="000904F7">
        <w:rPr>
          <w:rFonts w:ascii="Times New Roman" w:hAnsi="Times New Roman" w:cs="Times New Roman"/>
          <w:sz w:val="24"/>
          <w:szCs w:val="24"/>
        </w:rPr>
        <w:t>, 831-842.</w:t>
      </w:r>
    </w:p>
    <w:p w14:paraId="43C3084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Huang, G., Brook, R., Crippa, M., Janssens-Maenhout, G., Schieberle, C., Dore, C., Guizzardi, D., Muntean, M., Schaaf, E., and Friedrich, R. (2017). Speciation of anthropogenic emissions of non-methane volatile organic compounds: a global gridded data set for 1970–2012, Atmos. Chem. Phys., 17, 7683–7701, https://doi.org/10.5194/acp-17-7683-2017.</w:t>
      </w:r>
    </w:p>
    <w:p w14:paraId="2C20F26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IARC (1987). International Agency for Research on Cancer. Overall Evaluations of Carcinogenicity: An Updating of IARC Monographs  Volumes  1  to  42,  Supplement  7,  available  at:  https: //monographs.iarc.fr/ENG/Monographs/suppl7/Suppl7.pdf (last access: 1 April 2019).</w:t>
      </w:r>
    </w:p>
    <w:p w14:paraId="06FFD06E"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IPCC: Climate Change (2013). The Physical Science Basis. Contribution of Working Group I to the Fifth Assessment Report of the Intergovernmental Panel on Climate Change, edited byL Stocker, T. F., Qin, D., Plattner, G.-K., Tignor, M., Allen, S. K., Boschung, J., Nauels, A., Xia, Y., Bex, V., and Midgley, P. M., https://doi.org/10.1017/CBO9781107415324.</w:t>
      </w:r>
    </w:p>
    <w:p w14:paraId="09C15698" w14:textId="196ED67C" w:rsidR="0071478B" w:rsidRPr="00F26949" w:rsidRDefault="0071478B" w:rsidP="002D26AF">
      <w:pPr>
        <w:spacing w:line="360" w:lineRule="auto"/>
        <w:jc w:val="both"/>
        <w:rPr>
          <w:rFonts w:ascii="Times New Roman" w:hAnsi="Times New Roman" w:cs="Times New Roman"/>
          <w:sz w:val="24"/>
          <w:szCs w:val="24"/>
        </w:rPr>
      </w:pPr>
      <w:r w:rsidRPr="0071478B">
        <w:rPr>
          <w:rFonts w:ascii="Times New Roman" w:hAnsi="Times New Roman" w:cs="Times New Roman"/>
          <w:sz w:val="24"/>
          <w:szCs w:val="24"/>
        </w:rPr>
        <w:t>Jain, S., Sharma, S. K., Mandal, T. K., &amp; Saxena, M. (2018). Source apportionment of PM10 in Delhi, India using PCA/APCS, UNMIX and PMF. </w:t>
      </w:r>
      <w:r w:rsidRPr="0071478B">
        <w:rPr>
          <w:rFonts w:ascii="Times New Roman" w:hAnsi="Times New Roman" w:cs="Times New Roman"/>
          <w:iCs/>
          <w:sz w:val="24"/>
          <w:szCs w:val="24"/>
        </w:rPr>
        <w:t>Particuology</w:t>
      </w:r>
      <w:r w:rsidRPr="0071478B">
        <w:rPr>
          <w:rFonts w:ascii="Times New Roman" w:hAnsi="Times New Roman" w:cs="Times New Roman"/>
          <w:sz w:val="24"/>
          <w:szCs w:val="24"/>
        </w:rPr>
        <w:t>, </w:t>
      </w:r>
      <w:r w:rsidRPr="0071478B">
        <w:rPr>
          <w:rFonts w:ascii="Times New Roman" w:hAnsi="Times New Roman" w:cs="Times New Roman"/>
          <w:iCs/>
          <w:sz w:val="24"/>
          <w:szCs w:val="24"/>
        </w:rPr>
        <w:t>37</w:t>
      </w:r>
      <w:r w:rsidRPr="0071478B">
        <w:rPr>
          <w:rFonts w:ascii="Times New Roman" w:hAnsi="Times New Roman" w:cs="Times New Roman"/>
          <w:sz w:val="24"/>
          <w:szCs w:val="24"/>
        </w:rPr>
        <w:t>, 107-118.</w:t>
      </w:r>
    </w:p>
    <w:p w14:paraId="1EEBC73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Janda, M., Morvova, M., Machala, Z., &amp; Morva, I. (2008). Study of plasma induced chemistry by DC discharges in CO2/N2/H2O mixtures above a water surface. Origins of Life and Evolution of Biospheres, 38(1), 23-35.</w:t>
      </w:r>
    </w:p>
    <w:p w14:paraId="5646EFE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Jat, R., &amp; Gurjar, B. R. (2021). Contribution of different source sectors and source regions of Indo-Gangetic Plain in India to PM2. 5 pollution and its short-term health impacts during peak polluted winter. Atmospheric Pollution Research, 12(4), 89-100.</w:t>
      </w:r>
    </w:p>
    <w:p w14:paraId="7A6E907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Jethva, H., Torres, O., Field, R. D., Lyapustin, A., Gautam, R., &amp; Kayetha, V. (2019). Connecting crop productivity, residue fires, and air quality over northern India. Scientific Reports, 9(1), 16594.</w:t>
      </w:r>
    </w:p>
    <w:p w14:paraId="7EA80DD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Jobson,  B.,  Alexander,  M.  L.,  Maupin,  G.  D.,  and  Muntean, G. G. (2005). Online analysis of organic compounds in diesel exhaust using a proton transfer reaction  mass  spectrometer (PTR-MS), Int. J. Mass Spectrom., 245, 78–89, https://doi.org/10.1016/j.ijms.2005.05.009.</w:t>
      </w:r>
    </w:p>
    <w:p w14:paraId="1029278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Kan, H., Chen, R., &amp; Tong, S. (2012). Ambient air pollution, climate change, and population health in China. Environment international, 42, 10-19.</w:t>
      </w:r>
    </w:p>
    <w:p w14:paraId="15DD9E0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Kansal, A. (2008). Sources and reactivity of NMHCs and VOCs in the atmosphere: A review. Journal of hazardous materials, 166(1), 17-26.</w:t>
      </w:r>
    </w:p>
    <w:p w14:paraId="7204AA1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Karanasiou, A. A., Siskos, P. A., &amp; Eleftheriadis, K. (2009). Assessment of source apportionment by Positive Matrix Factorization analysis on fine and coarse urban aerosol size fractions. Atmospheric Environment, 43(21), 3385-3395.</w:t>
      </w:r>
    </w:p>
    <w:p w14:paraId="37FF1B7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Karl, T., Jobson, T., Kuster, W. C., Williams, E., Stutz, J., Shetter, R., Hall, S. R., Goldan, P., Fehsenfeld, F., and Lindinger, W. (2003). Use of proton transfer reaction mass spectrometry to characterize volatile organic compound sources at the La Porte super site during the Texas Air Quality Study 2000, J. Geophys. Res. Atmos., 108, 4508, https://doi.org/10.1029/2002JD003333.</w:t>
      </w:r>
    </w:p>
    <w:p w14:paraId="50CE551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Karl, T. G., Christian, T. J., Yokelson, R. J., Artaxo, P., Hao, W. M., &amp; Guenther, A. (2007). The Tropical Forest and Fire Emissions Experiment: method evaluation of volatile organic compound emissions measured by PTR-MS, FTIR, and GC from tropical biomass burning. Atmospheric Chemistry and Physics, 7(22), 5883-5897.</w:t>
      </w:r>
    </w:p>
    <w:p w14:paraId="16A4170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Karl, T. R., Melillo, J. M., Peterson, T. C., &amp; Hassol, S. J. (Eds.). (2009). Global climate change impacts in the United States. Cambridge University Press.</w:t>
      </w:r>
    </w:p>
    <w:p w14:paraId="3014F536"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Kelishadi, R., &amp; Poursafa, P. (2010). Air pollution and non-respiratory health hazards for children. Archives of Medical Science, 6(4), 483-495.</w:t>
      </w:r>
    </w:p>
    <w:p w14:paraId="59FE00F5" w14:textId="54DCA3D0" w:rsidR="00480C75" w:rsidRPr="00F26949" w:rsidRDefault="00480C75" w:rsidP="002D26AF">
      <w:pPr>
        <w:spacing w:line="360" w:lineRule="auto"/>
        <w:jc w:val="both"/>
        <w:rPr>
          <w:rFonts w:ascii="Times New Roman" w:hAnsi="Times New Roman" w:cs="Times New Roman"/>
          <w:sz w:val="24"/>
          <w:szCs w:val="24"/>
        </w:rPr>
      </w:pPr>
      <w:bookmarkStart w:id="91" w:name="_Hlk124767618"/>
      <w:r w:rsidRPr="00480C75">
        <w:rPr>
          <w:rFonts w:ascii="Times New Roman" w:hAnsi="Times New Roman" w:cs="Times New Roman"/>
          <w:sz w:val="24"/>
          <w:szCs w:val="24"/>
        </w:rPr>
        <w:t>Kesavachandran</w:t>
      </w:r>
      <w:bookmarkEnd w:id="91"/>
      <w:r w:rsidRPr="00480C75">
        <w:rPr>
          <w:rFonts w:ascii="Times New Roman" w:hAnsi="Times New Roman" w:cs="Times New Roman"/>
          <w:sz w:val="24"/>
          <w:szCs w:val="24"/>
        </w:rPr>
        <w:t>, C. N., Prathish, K. P., Sakhre, S., Ajay, S. V., &amp; Rahul, C. M. (2022). Proposed city-specific interim targets for India based on WHO air quality guidelines 2021. </w:t>
      </w:r>
      <w:r w:rsidRPr="00480C75">
        <w:rPr>
          <w:rFonts w:ascii="Times New Roman" w:hAnsi="Times New Roman" w:cs="Times New Roman"/>
          <w:iCs/>
          <w:sz w:val="24"/>
          <w:szCs w:val="24"/>
        </w:rPr>
        <w:t>Environmental Science and Pollution Research</w:t>
      </w:r>
      <w:r w:rsidRPr="00480C75">
        <w:rPr>
          <w:rFonts w:ascii="Times New Roman" w:hAnsi="Times New Roman" w:cs="Times New Roman"/>
          <w:sz w:val="24"/>
          <w:szCs w:val="24"/>
        </w:rPr>
        <w:t>, </w:t>
      </w:r>
      <w:r w:rsidRPr="00480C75">
        <w:rPr>
          <w:rFonts w:ascii="Times New Roman" w:hAnsi="Times New Roman" w:cs="Times New Roman"/>
          <w:iCs/>
          <w:sz w:val="24"/>
          <w:szCs w:val="24"/>
        </w:rPr>
        <w:t>29</w:t>
      </w:r>
      <w:r w:rsidRPr="00480C75">
        <w:rPr>
          <w:rFonts w:ascii="Times New Roman" w:hAnsi="Times New Roman" w:cs="Times New Roman"/>
          <w:sz w:val="24"/>
          <w:szCs w:val="24"/>
        </w:rPr>
        <w:t>(21), 30802-30807.</w:t>
      </w:r>
    </w:p>
    <w:p w14:paraId="2F0FE7E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Kesselmeier,   J.   and   Staudt,   M. (1999).  Biogenic   volatile   organic compounds (VOC): an overview  on  emission, physiology and ecology, J. Atmos. Chem., 33, 23–88, https://doi.org/10.1023/A:1006127516791.</w:t>
      </w:r>
    </w:p>
    <w:p w14:paraId="103FF66A"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Khan, M. F., Hirano, K., &amp; Masunaga, S. (2012). Assessment of the sources of suspended particulate matter aerosol using US EPA PMF 3.0. Environmental monitoring and assessment, 184(2), 1063-1083.</w:t>
      </w:r>
    </w:p>
    <w:p w14:paraId="2BB0F31E" w14:textId="04D9DC6F" w:rsidR="00936B51" w:rsidRPr="00F26949" w:rsidRDefault="00936B51" w:rsidP="002D26AF">
      <w:pPr>
        <w:spacing w:line="360" w:lineRule="auto"/>
        <w:jc w:val="both"/>
        <w:rPr>
          <w:rFonts w:ascii="Times New Roman" w:hAnsi="Times New Roman" w:cs="Times New Roman"/>
          <w:sz w:val="24"/>
          <w:szCs w:val="24"/>
        </w:rPr>
      </w:pPr>
      <w:r w:rsidRPr="00936B51">
        <w:rPr>
          <w:rFonts w:ascii="Times New Roman" w:hAnsi="Times New Roman" w:cs="Times New Roman"/>
          <w:sz w:val="24"/>
          <w:szCs w:val="24"/>
        </w:rPr>
        <w:t>Khillare, P. S., Balachandran, S., &amp; Meena, B. R. (2004). Spatial and temporal variation of heavy metals in atmospheric aerosol of Delhi. </w:t>
      </w:r>
      <w:r w:rsidRPr="00936B51">
        <w:rPr>
          <w:rFonts w:ascii="Times New Roman" w:hAnsi="Times New Roman" w:cs="Times New Roman"/>
          <w:iCs/>
          <w:sz w:val="24"/>
          <w:szCs w:val="24"/>
        </w:rPr>
        <w:t>Environmental Monitoring and Assessment</w:t>
      </w:r>
      <w:r w:rsidRPr="00936B51">
        <w:rPr>
          <w:rFonts w:ascii="Times New Roman" w:hAnsi="Times New Roman" w:cs="Times New Roman"/>
          <w:sz w:val="24"/>
          <w:szCs w:val="24"/>
        </w:rPr>
        <w:t>, </w:t>
      </w:r>
      <w:r w:rsidRPr="00936B51">
        <w:rPr>
          <w:rFonts w:ascii="Times New Roman" w:hAnsi="Times New Roman" w:cs="Times New Roman"/>
          <w:iCs/>
          <w:sz w:val="24"/>
          <w:szCs w:val="24"/>
        </w:rPr>
        <w:t>90</w:t>
      </w:r>
      <w:r w:rsidRPr="00936B51">
        <w:rPr>
          <w:rFonts w:ascii="Times New Roman" w:hAnsi="Times New Roman" w:cs="Times New Roman"/>
          <w:sz w:val="24"/>
          <w:szCs w:val="24"/>
        </w:rPr>
        <w:t>, 1-21.</w:t>
      </w:r>
    </w:p>
    <w:p w14:paraId="00DCF92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Khilnani, G. C., &amp; Tiwari, P. (2018). Air pollution in India and related adverse respiratory health effects: past, present, and future directions. Current opinion in pulmonary medicine, 24(2), 108-116.</w:t>
      </w:r>
    </w:p>
    <w:p w14:paraId="384F334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Kim, K. H., Jahan, S. A., &amp; Kabir, E. (2011). A review of diseases associated with household air pollution due to the use of biomass fuels. Journal of hazardous materials, 192(2), 425-431.</w:t>
      </w:r>
    </w:p>
    <w:p w14:paraId="516FB43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Kleinman, M. T., Pasternack, B. S., Eisenbud, M., &amp; Kneip, T. J. (1980). Identifying and estimating the relative importance of sources of airborne particulates. Environmental Science &amp; Technology, 14(1), 62-65.</w:t>
      </w:r>
    </w:p>
    <w:p w14:paraId="456088FA" w14:textId="77777777" w:rsidR="002D26AF" w:rsidRPr="00F26949" w:rsidRDefault="002D26AF" w:rsidP="002D26AF">
      <w:pPr>
        <w:spacing w:line="360" w:lineRule="auto"/>
        <w:jc w:val="both"/>
        <w:rPr>
          <w:rFonts w:ascii="Times New Roman" w:hAnsi="Times New Roman" w:cs="Times New Roman"/>
          <w:sz w:val="24"/>
          <w:szCs w:val="24"/>
        </w:rPr>
      </w:pPr>
      <w:bookmarkStart w:id="92" w:name="_Hlk132674687"/>
      <w:r w:rsidRPr="00F26949">
        <w:rPr>
          <w:rFonts w:ascii="Times New Roman" w:hAnsi="Times New Roman" w:cs="Times New Roman"/>
          <w:sz w:val="24"/>
          <w:szCs w:val="24"/>
        </w:rPr>
        <w:t>Kloog</w:t>
      </w:r>
      <w:bookmarkEnd w:id="92"/>
      <w:r w:rsidRPr="00F26949">
        <w:rPr>
          <w:rFonts w:ascii="Times New Roman" w:hAnsi="Times New Roman" w:cs="Times New Roman"/>
          <w:sz w:val="24"/>
          <w:szCs w:val="24"/>
        </w:rPr>
        <w:t>, I., Ridgway, B., Koutrakis, P., Coull, B. A., &amp; Schwartz, J. D. (2013). Long-and short-term exposure to PM2. 5 and mortality: using novel exposure models. Epidemiology (Cambridge, Mass.), 24(4), 555.</w:t>
      </w:r>
    </w:p>
    <w:p w14:paraId="2373BC1C"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Koppmann, R. (Ed.). (2008). Volatile organic compounds in the atmosphere. John Wiley &amp; Sons.</w:t>
      </w:r>
    </w:p>
    <w:p w14:paraId="23B8544B" w14:textId="77777777" w:rsidR="0027156F" w:rsidRPr="0027156F" w:rsidRDefault="0027156F" w:rsidP="0027156F">
      <w:pPr>
        <w:spacing w:line="360" w:lineRule="auto"/>
        <w:jc w:val="both"/>
        <w:rPr>
          <w:rFonts w:ascii="Times New Roman" w:hAnsi="Times New Roman" w:cs="Times New Roman"/>
          <w:sz w:val="24"/>
          <w:szCs w:val="24"/>
        </w:rPr>
      </w:pPr>
      <w:r w:rsidRPr="0027156F">
        <w:rPr>
          <w:rFonts w:ascii="Times New Roman" w:hAnsi="Times New Roman" w:cs="Times New Roman"/>
          <w:sz w:val="24"/>
          <w:szCs w:val="24"/>
        </w:rPr>
        <w:t>Kuehn, B. M. (2014). WHO: More than 7 million air pollution deaths each year. </w:t>
      </w:r>
      <w:r w:rsidRPr="0027156F">
        <w:rPr>
          <w:rFonts w:ascii="Times New Roman" w:hAnsi="Times New Roman" w:cs="Times New Roman"/>
          <w:iCs/>
          <w:sz w:val="24"/>
          <w:szCs w:val="24"/>
        </w:rPr>
        <w:t>Jama</w:t>
      </w:r>
      <w:r w:rsidRPr="0027156F">
        <w:rPr>
          <w:rFonts w:ascii="Times New Roman" w:hAnsi="Times New Roman" w:cs="Times New Roman"/>
          <w:sz w:val="24"/>
          <w:szCs w:val="24"/>
        </w:rPr>
        <w:t>, </w:t>
      </w:r>
      <w:r w:rsidRPr="0027156F">
        <w:rPr>
          <w:rFonts w:ascii="Times New Roman" w:hAnsi="Times New Roman" w:cs="Times New Roman"/>
          <w:iCs/>
          <w:sz w:val="24"/>
          <w:szCs w:val="24"/>
        </w:rPr>
        <w:t>311</w:t>
      </w:r>
      <w:r w:rsidRPr="0027156F">
        <w:rPr>
          <w:rFonts w:ascii="Times New Roman" w:hAnsi="Times New Roman" w:cs="Times New Roman"/>
          <w:sz w:val="24"/>
          <w:szCs w:val="24"/>
        </w:rPr>
        <w:t>(15), 1486-1486.</w:t>
      </w:r>
    </w:p>
    <w:p w14:paraId="11C0799A" w14:textId="676E5776" w:rsidR="0027156F" w:rsidRPr="00F26949" w:rsidRDefault="0027156F" w:rsidP="002D26AF">
      <w:pPr>
        <w:spacing w:line="360" w:lineRule="auto"/>
        <w:jc w:val="both"/>
        <w:rPr>
          <w:rFonts w:ascii="Times New Roman" w:hAnsi="Times New Roman" w:cs="Times New Roman"/>
          <w:sz w:val="24"/>
          <w:szCs w:val="24"/>
        </w:rPr>
      </w:pPr>
      <w:r w:rsidRPr="0027156F">
        <w:rPr>
          <w:rFonts w:ascii="Times New Roman" w:hAnsi="Times New Roman" w:cs="Times New Roman"/>
          <w:sz w:val="24"/>
          <w:szCs w:val="24"/>
        </w:rPr>
        <w:t>Kulshrestha, A., Satsangi, P. G., Masih, J., &amp; Taneja, A. (2009). Metal concentration of PM2. 5 and PM10 particles and seasonal variations in urban and rural environment of Agra, India. </w:t>
      </w:r>
      <w:r w:rsidRPr="0027156F">
        <w:rPr>
          <w:rFonts w:ascii="Times New Roman" w:hAnsi="Times New Roman" w:cs="Times New Roman"/>
          <w:iCs/>
          <w:sz w:val="24"/>
          <w:szCs w:val="24"/>
        </w:rPr>
        <w:t>Science of the Total Environment</w:t>
      </w:r>
      <w:r w:rsidRPr="0027156F">
        <w:rPr>
          <w:rFonts w:ascii="Times New Roman" w:hAnsi="Times New Roman" w:cs="Times New Roman"/>
          <w:sz w:val="24"/>
          <w:szCs w:val="24"/>
        </w:rPr>
        <w:t>, </w:t>
      </w:r>
      <w:r w:rsidRPr="0027156F">
        <w:rPr>
          <w:rFonts w:ascii="Times New Roman" w:hAnsi="Times New Roman" w:cs="Times New Roman"/>
          <w:iCs/>
          <w:sz w:val="24"/>
          <w:szCs w:val="24"/>
        </w:rPr>
        <w:t>407</w:t>
      </w:r>
      <w:r w:rsidRPr="0027156F">
        <w:rPr>
          <w:rFonts w:ascii="Times New Roman" w:hAnsi="Times New Roman" w:cs="Times New Roman"/>
          <w:sz w:val="24"/>
          <w:szCs w:val="24"/>
        </w:rPr>
        <w:t>(24), 6196-6204.</w:t>
      </w:r>
    </w:p>
    <w:p w14:paraId="2A04371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Kumar, V., Sarkar, C., and Sinha, V. (2016). Influence of post-harvest crop residue fires on surface ozone  mixing  ratios  in  the NW IGP analyzed using 2 years of continuous in situ trace gas measurements, J. Geophys. Res. Atmos., 121, 3619–3633, https://doi.org/10.1002/2015JD024308.</w:t>
      </w:r>
    </w:p>
    <w:p w14:paraId="7EC3558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Kumar, R., Barth, M. C., Pfister, G. G., Delle Monache, L., Lamarque, J. F., Archer‐Nicholls, S., ... &amp; Walters, S. (2018). How will air quality change in South Asia by 2050?. Journal of Geophysical Research: Atmospheres, 123(3), 1840-1864.</w:t>
      </w:r>
    </w:p>
    <w:p w14:paraId="26B5483B"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Kumar, V., Chandra, B., and Sinha, V. (2018). Large unexplained suite of chemically reactive compounds present in ambient air due to biomass fires, Sci. Rep., 8, 626, https://doi.org/10.1038/s41598- 017-19139-3</w:t>
      </w:r>
    </w:p>
    <w:p w14:paraId="2D3E1FEA" w14:textId="5764AECB" w:rsidR="00786F95" w:rsidRPr="00F26949" w:rsidRDefault="00786F95" w:rsidP="002D26AF">
      <w:pPr>
        <w:spacing w:line="360" w:lineRule="auto"/>
        <w:jc w:val="both"/>
        <w:rPr>
          <w:rFonts w:ascii="Times New Roman" w:hAnsi="Times New Roman" w:cs="Times New Roman"/>
          <w:sz w:val="24"/>
          <w:szCs w:val="24"/>
        </w:rPr>
      </w:pPr>
      <w:r w:rsidRPr="00786F95">
        <w:rPr>
          <w:rFonts w:ascii="Times New Roman" w:hAnsi="Times New Roman" w:cs="Times New Roman"/>
          <w:sz w:val="24"/>
          <w:szCs w:val="24"/>
        </w:rPr>
        <w:lastRenderedPageBreak/>
        <w:t>Kuo, C. P., Liao, H. T., Chou, C. C. K., &amp; Wu, C. F. (2014). Source apportionment of particulate matter and selected volatile organic compounds with multiple time resolution data. </w:t>
      </w:r>
      <w:r w:rsidRPr="00786F95">
        <w:rPr>
          <w:rFonts w:ascii="Times New Roman" w:hAnsi="Times New Roman" w:cs="Times New Roman"/>
          <w:iCs/>
          <w:sz w:val="24"/>
          <w:szCs w:val="24"/>
        </w:rPr>
        <w:t>Science of the total environment</w:t>
      </w:r>
      <w:r w:rsidRPr="00786F95">
        <w:rPr>
          <w:rFonts w:ascii="Times New Roman" w:hAnsi="Times New Roman" w:cs="Times New Roman"/>
          <w:sz w:val="24"/>
          <w:szCs w:val="24"/>
        </w:rPr>
        <w:t>, </w:t>
      </w:r>
      <w:r w:rsidRPr="00786F95">
        <w:rPr>
          <w:rFonts w:ascii="Times New Roman" w:hAnsi="Times New Roman" w:cs="Times New Roman"/>
          <w:iCs/>
          <w:sz w:val="24"/>
          <w:szCs w:val="24"/>
        </w:rPr>
        <w:t>472</w:t>
      </w:r>
      <w:r w:rsidRPr="00786F95">
        <w:rPr>
          <w:rFonts w:ascii="Times New Roman" w:hAnsi="Times New Roman" w:cs="Times New Roman"/>
          <w:sz w:val="24"/>
          <w:szCs w:val="24"/>
        </w:rPr>
        <w:t>, 880-887.</w:t>
      </w:r>
    </w:p>
    <w:p w14:paraId="13A0C2C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Kurokawa, J., Ohara, T., Morikawa, T., Hanayama, S., Janssens- Maenhout, G., Fukui, T., Kawashima, K., and Akimoto, H. (2013). Emissions of air pollutants and greenhouse gases over Asian regions during 2000–2008: Regional Emission inventory in ASia (REAS)  version  2,  Atmos.  Chem.  Phys.,  13,  11019–11058, https://doi.org/10.5194/acp-13-11019-2013.</w:t>
      </w:r>
    </w:p>
    <w:p w14:paraId="195DCAE7"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Kurokawa, J., &amp; Ohara, T. (2020). Long-term historical trends in air pollutant emissions in Asia: Regional Emission inventory in ASia (REAS) version 3. Atmospheric Chemistry and Physics, 20(21), 12761-12793.</w:t>
      </w:r>
    </w:p>
    <w:p w14:paraId="058A82A4" w14:textId="77777777" w:rsidR="002527FD" w:rsidRPr="002527FD" w:rsidRDefault="002527FD" w:rsidP="002527FD">
      <w:pPr>
        <w:spacing w:line="360" w:lineRule="auto"/>
        <w:jc w:val="both"/>
        <w:rPr>
          <w:rFonts w:ascii="Times New Roman" w:hAnsi="Times New Roman" w:cs="Times New Roman"/>
          <w:sz w:val="24"/>
          <w:szCs w:val="24"/>
        </w:rPr>
      </w:pPr>
      <w:r w:rsidRPr="002527FD">
        <w:rPr>
          <w:rFonts w:ascii="Times New Roman" w:hAnsi="Times New Roman" w:cs="Times New Roman"/>
          <w:sz w:val="24"/>
          <w:szCs w:val="24"/>
        </w:rPr>
        <w:t>Lack, D. A., Bahreini, R., Langridge, J. M., Gilman, J. B., &amp; Middlebrook, A. M. (2013). Brown carbon absorption linked to organic mass tracers in biomass burning particles. </w:t>
      </w:r>
      <w:r w:rsidRPr="002527FD">
        <w:rPr>
          <w:rFonts w:ascii="Times New Roman" w:hAnsi="Times New Roman" w:cs="Times New Roman"/>
          <w:iCs/>
          <w:sz w:val="24"/>
          <w:szCs w:val="24"/>
        </w:rPr>
        <w:t>Atmospheric Chemistry and Physics</w:t>
      </w:r>
      <w:r w:rsidRPr="002527FD">
        <w:rPr>
          <w:rFonts w:ascii="Times New Roman" w:hAnsi="Times New Roman" w:cs="Times New Roman"/>
          <w:sz w:val="24"/>
          <w:szCs w:val="24"/>
        </w:rPr>
        <w:t>, </w:t>
      </w:r>
      <w:r w:rsidRPr="002527FD">
        <w:rPr>
          <w:rFonts w:ascii="Times New Roman" w:hAnsi="Times New Roman" w:cs="Times New Roman"/>
          <w:iCs/>
          <w:sz w:val="24"/>
          <w:szCs w:val="24"/>
        </w:rPr>
        <w:t>13</w:t>
      </w:r>
      <w:r w:rsidRPr="002527FD">
        <w:rPr>
          <w:rFonts w:ascii="Times New Roman" w:hAnsi="Times New Roman" w:cs="Times New Roman"/>
          <w:sz w:val="24"/>
          <w:szCs w:val="24"/>
        </w:rPr>
        <w:t>(5), 2415-2422.</w:t>
      </w:r>
    </w:p>
    <w:p w14:paraId="2DC29356" w14:textId="77777777" w:rsidR="002527FD" w:rsidRPr="002527FD" w:rsidRDefault="002527FD" w:rsidP="002527FD">
      <w:pPr>
        <w:spacing w:line="360" w:lineRule="auto"/>
        <w:jc w:val="both"/>
        <w:rPr>
          <w:rFonts w:ascii="Times New Roman" w:hAnsi="Times New Roman" w:cs="Times New Roman"/>
          <w:sz w:val="24"/>
          <w:szCs w:val="24"/>
        </w:rPr>
      </w:pPr>
      <w:r w:rsidRPr="002527FD">
        <w:rPr>
          <w:rFonts w:ascii="Times New Roman" w:hAnsi="Times New Roman" w:cs="Times New Roman"/>
          <w:sz w:val="24"/>
          <w:szCs w:val="24"/>
        </w:rPr>
        <w:t>Landrigan, P. J. (2017). Air pollution and health. </w:t>
      </w:r>
      <w:r w:rsidRPr="002527FD">
        <w:rPr>
          <w:rFonts w:ascii="Times New Roman" w:hAnsi="Times New Roman" w:cs="Times New Roman"/>
          <w:iCs/>
          <w:sz w:val="24"/>
          <w:szCs w:val="24"/>
        </w:rPr>
        <w:t>The Lancet Public Health</w:t>
      </w:r>
      <w:r w:rsidRPr="002527FD">
        <w:rPr>
          <w:rFonts w:ascii="Times New Roman" w:hAnsi="Times New Roman" w:cs="Times New Roman"/>
          <w:sz w:val="24"/>
          <w:szCs w:val="24"/>
        </w:rPr>
        <w:t>, </w:t>
      </w:r>
      <w:r w:rsidRPr="002527FD">
        <w:rPr>
          <w:rFonts w:ascii="Times New Roman" w:hAnsi="Times New Roman" w:cs="Times New Roman"/>
          <w:iCs/>
          <w:sz w:val="24"/>
          <w:szCs w:val="24"/>
        </w:rPr>
        <w:t>2</w:t>
      </w:r>
      <w:r w:rsidRPr="002527FD">
        <w:rPr>
          <w:rFonts w:ascii="Times New Roman" w:hAnsi="Times New Roman" w:cs="Times New Roman"/>
          <w:sz w:val="24"/>
          <w:szCs w:val="24"/>
        </w:rPr>
        <w:t>(1), e4-e5.</w:t>
      </w:r>
    </w:p>
    <w:p w14:paraId="61542D23"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Lee, S., Liu, W., Wang, Y., Russell, A. G., &amp; Edgerton, E. S. (2008). Source apportionment of PM2. 5: Comparing PMF and CMB results for four ambient monitoring sites in the southeastern United States. Atmospheric Environment, 42(18), 4126-4137.</w:t>
      </w:r>
    </w:p>
    <w:p w14:paraId="7554782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Lelieveld, J., Evans, J. S., Fnais, M., Giannadaki, D., &amp; Pozzer, A. (2015). The contribution of outdoor air pollution sources to premature mortality on a global scale. Nature, 525(7569), 367-371.</w:t>
      </w:r>
    </w:p>
    <w:p w14:paraId="44921AE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Lerdau, M., &amp; Keller, M. (1997). Controls on isoprene emission from trees in a subtropical dry forest. Plant, Cell &amp; Environment, 20(5), 569-578.</w:t>
      </w:r>
    </w:p>
    <w:p w14:paraId="341DF1E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Lestari, P., &amp; Mauliadi, Y. D. (2009). Source apportionment of particulate matter at urban mixed site in Indonesia using PMF. Atmospheric Environment, 43(10), 1760-1770.</w:t>
      </w:r>
    </w:p>
    <w:p w14:paraId="7BD5B4F4"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Leuchner, M., &amp; Rappenglück, B. (2010). VOC source-receptor relationships in Houston during TexAQS-II. Atmospheric Environment, 44(33), 4056–4067. http://doi.org/10.1016/j.atmosenv.2009.02.029</w:t>
      </w:r>
    </w:p>
    <w:p w14:paraId="508C01E1"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lastRenderedPageBreak/>
        <w:t>Lewis, C. W., Norris, G. A., Conner, T. L., &amp; Henry, R. C. (2003). Source apportionment of Phoenix PM2. 5 aerosol with the Unmix receptor model. Journal of the Air &amp; Waste Management Association, 53(3), 325-338.</w:t>
      </w:r>
    </w:p>
    <w:p w14:paraId="2630FDB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Li, J., Zhang,  M.,  Wu,  F.,  Sun,  Y.,  and  Tang,  G. (2017). Assessment of the impacts of aromatic VOC emissions and yields of SOA on  SOA  concentrations  with  the  air  quality model RAMS-CMAQ, Atmos. Environ., 158, 105–115, https://doi.org/10.1016/j.atmosenv.2017.03.035.</w:t>
      </w:r>
    </w:p>
    <w:p w14:paraId="40821B5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Li, M., Li, C., &amp; Zhang, M. (2018). Exploring the spatial spillover effects of industrialization and urbanization factors on pollutants emissions in China's Huang-Huai-Hai region. Journal of Cleaner Production, 195, 154-162.</w:t>
      </w:r>
    </w:p>
    <w:p w14:paraId="5A5EB0FD"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Li, W. and Cocker III, D. R. (2018). Assessment of the impacts of aromatic VOC emissions and yields of SOA on SOA concentrations with the air quality model RAMS-CMAQ, Atmos. Environ., 184, 17– 23, https://doi.org/10.1016/j.atmosenv.2018.03.059.</w:t>
      </w:r>
    </w:p>
    <w:p w14:paraId="5E4C6E9D" w14:textId="77777777" w:rsidR="00AA78F2" w:rsidRPr="002527FD" w:rsidRDefault="00AA78F2" w:rsidP="00AA78F2">
      <w:pPr>
        <w:spacing w:line="360" w:lineRule="auto"/>
        <w:jc w:val="both"/>
        <w:rPr>
          <w:rFonts w:ascii="Times New Roman" w:hAnsi="Times New Roman" w:cs="Times New Roman"/>
          <w:sz w:val="24"/>
          <w:szCs w:val="24"/>
        </w:rPr>
      </w:pPr>
      <w:r w:rsidRPr="002527FD">
        <w:rPr>
          <w:rFonts w:ascii="Times New Roman" w:hAnsi="Times New Roman" w:cs="Times New Roman"/>
          <w:sz w:val="24"/>
          <w:szCs w:val="24"/>
        </w:rPr>
        <w:t>Liao, H. T., Chou, C. C. K., Huang, S. H., Lu, C. J., Chen, C. C., Hopke, P. K., &amp; Wu, C. F. (2017). Source apportionment of PM2. 5 size distribution and composition data from multiple stationary sites using a mobile platform. </w:t>
      </w:r>
      <w:r w:rsidRPr="002527FD">
        <w:rPr>
          <w:rFonts w:ascii="Times New Roman" w:hAnsi="Times New Roman" w:cs="Times New Roman"/>
          <w:iCs/>
          <w:sz w:val="24"/>
          <w:szCs w:val="24"/>
        </w:rPr>
        <w:t>Atmospheric Research</w:t>
      </w:r>
      <w:r w:rsidRPr="002527FD">
        <w:rPr>
          <w:rFonts w:ascii="Times New Roman" w:hAnsi="Times New Roman" w:cs="Times New Roman"/>
          <w:sz w:val="24"/>
          <w:szCs w:val="24"/>
        </w:rPr>
        <w:t>, </w:t>
      </w:r>
      <w:r w:rsidRPr="002527FD">
        <w:rPr>
          <w:rFonts w:ascii="Times New Roman" w:hAnsi="Times New Roman" w:cs="Times New Roman"/>
          <w:iCs/>
          <w:sz w:val="24"/>
          <w:szCs w:val="24"/>
        </w:rPr>
        <w:t>190</w:t>
      </w:r>
      <w:r w:rsidRPr="002527FD">
        <w:rPr>
          <w:rFonts w:ascii="Times New Roman" w:hAnsi="Times New Roman" w:cs="Times New Roman"/>
          <w:sz w:val="24"/>
          <w:szCs w:val="24"/>
        </w:rPr>
        <w:t>, 21-28.</w:t>
      </w:r>
    </w:p>
    <w:p w14:paraId="440EB90D" w14:textId="740084BC" w:rsidR="00AA78F2"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Lim, S. S., Vos, T., Flaxman, A. D., Danaei, G., Shibuya, K., Adair-Rohani, H., ... &amp; Pelizzari, P. M. (2012). A comparative risk assessment of burden of disease and injury attributable to 67 risk factors and risk factor clusters in 21 regions, 1990–2010: a systematic analysis for the Global Burden of Disease Study 2010. The lancet, 380(9859), 2224-2260.</w:t>
      </w:r>
    </w:p>
    <w:p w14:paraId="35AE9210" w14:textId="77777777" w:rsidR="002D26AF"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Lindinger, W., Hansel,  a, &amp; Jordan,  a. (1998). Proton-Transfer-Reaction Mass Spectrometry (PTR-MS): On-line Monitoring of Volatile Organic Compounds at pptv Levels. Chemical Society Reviews, 27(5), 347–354. http://doi.org/10.1039/a827347z</w:t>
      </w:r>
    </w:p>
    <w:p w14:paraId="7D2AD87E" w14:textId="3DE6D046" w:rsidR="004B4B28" w:rsidRPr="00F26949" w:rsidRDefault="004B4B28" w:rsidP="002D26AF">
      <w:pPr>
        <w:spacing w:line="360" w:lineRule="auto"/>
        <w:jc w:val="both"/>
        <w:rPr>
          <w:rFonts w:ascii="Times New Roman" w:hAnsi="Times New Roman" w:cs="Times New Roman"/>
          <w:sz w:val="24"/>
          <w:szCs w:val="24"/>
          <w:shd w:val="clear" w:color="auto" w:fill="FFFFFF"/>
        </w:rPr>
      </w:pPr>
      <w:r w:rsidRPr="004B4B28">
        <w:rPr>
          <w:rFonts w:ascii="Times New Roman" w:hAnsi="Times New Roman" w:cs="Times New Roman"/>
          <w:sz w:val="24"/>
          <w:szCs w:val="24"/>
          <w:shd w:val="clear" w:color="auto" w:fill="FFFFFF"/>
        </w:rPr>
        <w:t>Liu, Y., Shao, M., Fu, L., Lu, S., Zeng, L., &amp; Tang, D. (2008). Source profiles of volatile organic compounds (VOCs) measured in China: Part I. </w:t>
      </w:r>
      <w:r w:rsidRPr="004B4B28">
        <w:rPr>
          <w:rFonts w:ascii="Times New Roman" w:hAnsi="Times New Roman" w:cs="Times New Roman"/>
          <w:iCs/>
          <w:sz w:val="24"/>
          <w:szCs w:val="24"/>
          <w:shd w:val="clear" w:color="auto" w:fill="FFFFFF"/>
        </w:rPr>
        <w:t>Atmospheric Environment</w:t>
      </w:r>
      <w:r w:rsidRPr="004B4B28">
        <w:rPr>
          <w:rFonts w:ascii="Times New Roman" w:hAnsi="Times New Roman" w:cs="Times New Roman"/>
          <w:sz w:val="24"/>
          <w:szCs w:val="24"/>
          <w:shd w:val="clear" w:color="auto" w:fill="FFFFFF"/>
        </w:rPr>
        <w:t>, </w:t>
      </w:r>
      <w:r w:rsidRPr="004B4B28">
        <w:rPr>
          <w:rFonts w:ascii="Times New Roman" w:hAnsi="Times New Roman" w:cs="Times New Roman"/>
          <w:iCs/>
          <w:sz w:val="24"/>
          <w:szCs w:val="24"/>
          <w:shd w:val="clear" w:color="auto" w:fill="FFFFFF"/>
        </w:rPr>
        <w:t>42</w:t>
      </w:r>
      <w:r w:rsidRPr="004B4B28">
        <w:rPr>
          <w:rFonts w:ascii="Times New Roman" w:hAnsi="Times New Roman" w:cs="Times New Roman"/>
          <w:sz w:val="24"/>
          <w:szCs w:val="24"/>
          <w:shd w:val="clear" w:color="auto" w:fill="FFFFFF"/>
        </w:rPr>
        <w:t>(25), 6247-6260.</w:t>
      </w:r>
    </w:p>
    <w:p w14:paraId="05264F33"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 xml:space="preserve">Lucarelli, F., Calzolai, G., Chiari, M., Giardi, F., Czelusniak, C., &amp; Nava, S. (2020). Hourly elemental composition and source identification by Positive Matrix Factorization </w:t>
      </w:r>
      <w:r w:rsidRPr="00F26949">
        <w:rPr>
          <w:rFonts w:ascii="Times New Roman" w:hAnsi="Times New Roman" w:cs="Times New Roman"/>
          <w:sz w:val="24"/>
          <w:szCs w:val="24"/>
          <w:shd w:val="clear" w:color="auto" w:fill="FFFFFF"/>
        </w:rPr>
        <w:lastRenderedPageBreak/>
        <w:t>(PMF) of fine and coarse particulate matter in the high polluted industrial area of Taranto (Italy). Atmosphere, 11(4), 419.</w:t>
      </w:r>
    </w:p>
    <w:p w14:paraId="29B913C5"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MacCracken, M. C. (2008). Prospects for future climate change and the reasons for early action. Journal of the Air &amp; Waste Management Association, 58(6), 735-786.</w:t>
      </w:r>
    </w:p>
    <w:p w14:paraId="3C3847E8"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bookmarkStart w:id="93" w:name="_Hlk131168028"/>
      <w:r w:rsidRPr="00F26949">
        <w:rPr>
          <w:rFonts w:ascii="Times New Roman" w:hAnsi="Times New Roman" w:cs="Times New Roman"/>
          <w:sz w:val="24"/>
          <w:szCs w:val="24"/>
          <w:shd w:val="clear" w:color="auto" w:fill="FFFFFF"/>
        </w:rPr>
        <w:t>Maćkiewicz, A., &amp; Ratajczak</w:t>
      </w:r>
      <w:bookmarkEnd w:id="93"/>
      <w:r w:rsidRPr="00F26949">
        <w:rPr>
          <w:rFonts w:ascii="Times New Roman" w:hAnsi="Times New Roman" w:cs="Times New Roman"/>
          <w:sz w:val="24"/>
          <w:szCs w:val="24"/>
          <w:shd w:val="clear" w:color="auto" w:fill="FFFFFF"/>
        </w:rPr>
        <w:t>, W. (1993). Principal components analysis (PCA). Computers &amp; Geosciences, 19(3), 303-342.</w:t>
      </w:r>
    </w:p>
    <w:p w14:paraId="562B52DE"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Majeed, A., Bukhari, M. H., Shah, A. S., &amp; Azhar, M. M. (2019). Space of Green Politics in South Asia: Myth or Reality?. Review of Economics and Development Studies, 5(2), 253-260.</w:t>
      </w:r>
    </w:p>
    <w:p w14:paraId="5716E25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Majumdar, D., Mukherjee, A., and Sen, S. (2009). Apportionment of Sources to Determine Vehicular Emission Factors of BTEX in Kolkata, India, Water Air Soil Pollut., 209, 379–388, https://doi.org/10.1007/s11270-008-9951-1.</w:t>
      </w:r>
    </w:p>
    <w:p w14:paraId="23F61FB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Manisalidis, I., Stavropoulou, E., Stavropoulos, A., &amp; Bezirtzoglou, E. (2020). Environmental and health impacts of air pollution: a review. Frontiers in public health, 14.</w:t>
      </w:r>
    </w:p>
    <w:p w14:paraId="342A74F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Mannucci, P. M., &amp; Franchini, M. (2017). Health effects of ambient air pollution in developing countries. International journal of environmental research and public health, 14(9), 1048.</w:t>
      </w:r>
    </w:p>
    <w:p w14:paraId="5BD6BD6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Manousakas, M., Papaefthymiou, H., Diapouli, E., Migliori, A., Karydas, A. G., Bogdanovic-Radovic, I., &amp; Eleftheriadis, K. (2017). Assessment of PM2. 5 sources and their corresponding level of uncertainty in a coastal urban area using EPA PMF 5.0 enhanced diagnostics. Science of the Total Environment, 574, 155-164.</w:t>
      </w:r>
    </w:p>
    <w:p w14:paraId="582D6B7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Marlon, J. R., Bloodhart, B., Ballew, M. T., Rolfe-Redding, J., Roser-Renouf, C., Leiserowitz, A., &amp; Maibach, E. (2019). How hope and doubt affect climate change mobilization. Frontiers in Communication, 4, 20.</w:t>
      </w:r>
    </w:p>
    <w:p w14:paraId="61818E6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Maung, T. Z., Bishop, J. E., Holt, E., Turner, A. M., &amp; Pfrang, C. (2022). Indoor air pollution and the health of vulnerable groups: a systematic review focused on particulate matter (PM), volatile organic compounds (VOCs) and their effects on children and people with pre-existing lung disease. International Journal of Environmental Research and Public Health, 19(14), 8752.</w:t>
      </w:r>
    </w:p>
    <w:p w14:paraId="4240BFCA"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lastRenderedPageBreak/>
        <w:t>Miller, S. L., Anderson, M. J., Daly, E. P., &amp; Milford, J. B. (2002). Source apportionment of exposures to volatile organic compounds . I . Evaluation of receptor models using simulated exposure data, 36, 3629–3641.</w:t>
      </w:r>
    </w:p>
    <w:p w14:paraId="490A6EF7"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Mishra, M., &amp; Kulshrestha, U. C. (2020). Extreme air pollution events spiking ionic levels at urban and rural sites of Indo-Gangetic plain. Aerosol and Air Quality Research, 20(6), 1266-1281.</w:t>
      </w:r>
    </w:p>
    <w:p w14:paraId="304FD79E"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Moore, F. C. (2009). Climate change and air pollution: exploring the synergies and potential for mitigation in industrializing countries. Sustainability, 1(1), 43-54.</w:t>
      </w:r>
    </w:p>
    <w:p w14:paraId="020F92BB"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Morawska, L., Zhu, T., Liu, N., Torkmahalleh, M. A., de Fatima Andrade, M., Barratt, B., ... &amp; Ye, C. (2021). The state of science on severe air pollution episodes: Quantitative and qualitative analysis. Environment international, 156, 106732.</w:t>
      </w:r>
    </w:p>
    <w:p w14:paraId="2A7CCA9B"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Morino, Y., Ohara, T., Yokouchi, Y., &amp; Ooki, A. (2011). Comprehensive source apportionment of volatile organic compounds using observational data, two receptor models, and an emission inventory in Tokyo metropolitan area. Journal of Geophysical Research: Atmospheres, 116(D2).</w:t>
      </w:r>
    </w:p>
    <w:p w14:paraId="10755868"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Mukherjee, A., &amp; Agrawal, M. (2017). World air particulate matter: sources, distribution and health effects. Environmental chemistry letters, 15, 283-309.</w:t>
      </w:r>
    </w:p>
    <w:p w14:paraId="00CD4BD3"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Myhre, G., Samset, B. H., Schulz, M., Balkanski, Y., Bauer, S., Berntsen, T. K., ... &amp; Zhou, C. (2013). Radiative forcing of the direct aerosol effect from AeroCom Phase II simulations. Atmospheric Chemistry and Physics, 13(4), 1853-1877.</w:t>
      </w:r>
    </w:p>
    <w:p w14:paraId="5EE2A069"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Na, K., &amp; Pyo, Y. (2007). Chemical mass balance receptor model applied to ambient C 2 – C 9 VOC concentration in Seoul , Korea : Effect of chemical reaction losses, 41, 6715–6728. http://doi.org/10.1016/j.atmosenv.2007.04.054</w:t>
      </w:r>
    </w:p>
    <w:p w14:paraId="3730D64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Nagpure, A. S., Ramaswami, A., and Russell, A. (2015). Characterizing the spatial and temporal patterns of open burning of municipal solid waste (MSW) in Indian cities, Environ. Sci. Technol., 49, 12904–12912, https://doi.org/10.1021/acs.est.5b03243.</w:t>
      </w:r>
    </w:p>
    <w:p w14:paraId="679949F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National Research Council. (2010). Global sources of local pollution: an assessment of long-range transport of key air pollutants to and from the United States. National Academies Press.</w:t>
      </w:r>
    </w:p>
    <w:p w14:paraId="7EB68ED2"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lastRenderedPageBreak/>
        <w:t>NOAA: National Oceanic and Atmospheric Administration website, last access - 10 April 2023. (</w:t>
      </w:r>
      <w:r w:rsidRPr="00F26949">
        <w:rPr>
          <w:rFonts w:ascii="Times New Roman" w:hAnsi="Times New Roman" w:cs="Times New Roman"/>
          <w:sz w:val="24"/>
          <w:szCs w:val="24"/>
        </w:rPr>
        <w:t>https://www.noaa.gov/jetstream/atmosphere/layers-of-atmosphere)</w:t>
      </w:r>
    </w:p>
    <w:p w14:paraId="3C91FA30"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Norris, G., Vedantham, R., Wade, K., Brown, S., and Prouty, J. (2008). EPA Positive Matrix Factorization (PMF) 3.0 Fundamentals and User Guide.</w:t>
      </w:r>
    </w:p>
    <w:p w14:paraId="4737CC7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Norris, G., Duvall, R., Brown, S., and  Bai,  S. (2014). EPA  Positive  Matrix  Factorization  (PMF)  5.0  Fundamentals  and User Guide, available at: https://www.epa.gov/sites/production/ files/2015-02/documents/pmf_5.0_user_guide.pdf (last access: 31 October 2019).</w:t>
      </w:r>
    </w:p>
    <w:p w14:paraId="42ACDB6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Olaguer, E. P. (2016). Atmospheric impacts of the oil and gas industry. Academic Press.</w:t>
      </w:r>
    </w:p>
    <w:p w14:paraId="7E278867" w14:textId="04B37BF0" w:rsidR="00F60FD1"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Ou, J., Zheng, J., Yuan, Z., Guan, D., Huang, Z., Yu, F., ... &amp; Louie, P. K. (2018). Reconciling discrepancies in the source characterization of VOCs between emission inventories and receptor modeling. Science of the Total Environment, 628, 697-706.</w:t>
      </w:r>
    </w:p>
    <w:p w14:paraId="31E2D89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(1997). Least squares formulation of robust non-negative factor analysis. Chemometrics and Intelligent Laboratory Systems, 37(1), 23–35. http://doi.org/10.1016/S0169-7439(96)00044-5</w:t>
      </w:r>
    </w:p>
    <w:p w14:paraId="669B140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&amp; Hopke, P. K. (2003). Discarding or downweighting high-noise variables in factor analytic models. Analytica Chimica Acta, 490(1-2), 277–289. http://doi.org/10.1016/S0003-2670(02)01643-4</w:t>
      </w:r>
    </w:p>
    <w:p w14:paraId="665B68B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and  Hopke,   P.   K. (2009). Rotational   tools   for   factor analytic models, J. Chemometr., 23, 91–100, https://doi.org/10.1002/cem.1197.</w:t>
      </w:r>
    </w:p>
    <w:p w14:paraId="5BCC319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&amp; Tapper, U. (1993). Analysis of different modes of factor analysis as least squares fit problems. Chemometrics and Intelligent Laboratory Systems, 18(2), 183-194.</w:t>
      </w:r>
    </w:p>
    <w:p w14:paraId="4396EE7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and Tapper, U. (1994). Positive matrix factorization: A non-negative factor model with  optimal  utilization  of  error estimates of data values, Environmetrics, 5, 111–126, https://doi.org/10.1002/env.3170050203.</w:t>
      </w:r>
    </w:p>
    <w:p w14:paraId="1046C35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Paatero, P., Hopke, P. K., Song, X. H., and Ramadan, Z. (2002). Understanding and controlling  rotations  in  factor  analytic models, Chemometr. Intell. Lab., 60, 253–264, https://doi.org/10.1016/S0169-7439(01)00200-3.</w:t>
      </w:r>
    </w:p>
    <w:p w14:paraId="05C19DD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Paatero, P., Eberly, S., Brown, S. G., and Norris, G. A. (2014). Methods for estimating uncertainty in factor analytic solutions, Atmos. Meas. Tech., 7, 781–797, https://doi.org/10.5194/amt-7 781-2014.</w:t>
      </w:r>
    </w:p>
    <w:p w14:paraId="6FD19094" w14:textId="77777777" w:rsidR="002D26AF"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Pace, T. G. (1991). Chemical mass balance. Receptor Model Air Qual Manag, 7, 83.</w:t>
      </w:r>
    </w:p>
    <w:p w14:paraId="0703AAFE" w14:textId="77777777" w:rsidR="009C1E74" w:rsidRPr="009C1E74" w:rsidRDefault="009C1E74" w:rsidP="009C1E74">
      <w:pPr>
        <w:spacing w:line="360" w:lineRule="auto"/>
        <w:jc w:val="both"/>
        <w:rPr>
          <w:rFonts w:ascii="Times New Roman" w:hAnsi="Times New Roman" w:cs="Times New Roman"/>
          <w:sz w:val="24"/>
          <w:szCs w:val="24"/>
          <w:shd w:val="clear" w:color="auto" w:fill="FFFFFF"/>
        </w:rPr>
      </w:pPr>
      <w:r w:rsidRPr="009C1E74">
        <w:rPr>
          <w:rFonts w:ascii="Times New Roman" w:hAnsi="Times New Roman" w:cs="Times New Roman"/>
          <w:sz w:val="24"/>
          <w:szCs w:val="24"/>
          <w:shd w:val="clear" w:color="auto" w:fill="FFFFFF"/>
        </w:rPr>
        <w:t>Pallavi, Sinha, B., &amp; Sinha, V. (2019). Source apportionment of volatile organic compounds in the northwest Indo-Gangetic Plain using a positive matrix factorization model. </w:t>
      </w:r>
      <w:r w:rsidRPr="009C1E74">
        <w:rPr>
          <w:rFonts w:ascii="Times New Roman" w:hAnsi="Times New Roman" w:cs="Times New Roman"/>
          <w:iCs/>
          <w:sz w:val="24"/>
          <w:szCs w:val="24"/>
          <w:shd w:val="clear" w:color="auto" w:fill="FFFFFF"/>
        </w:rPr>
        <w:t>Atmospheric Chemistry and Physics</w:t>
      </w:r>
      <w:r w:rsidRPr="009C1E74">
        <w:rPr>
          <w:rFonts w:ascii="Times New Roman" w:hAnsi="Times New Roman" w:cs="Times New Roman"/>
          <w:sz w:val="24"/>
          <w:szCs w:val="24"/>
          <w:shd w:val="clear" w:color="auto" w:fill="FFFFFF"/>
        </w:rPr>
        <w:t>, </w:t>
      </w:r>
      <w:r w:rsidRPr="009C1E74">
        <w:rPr>
          <w:rFonts w:ascii="Times New Roman" w:hAnsi="Times New Roman" w:cs="Times New Roman"/>
          <w:iCs/>
          <w:sz w:val="24"/>
          <w:szCs w:val="24"/>
          <w:shd w:val="clear" w:color="auto" w:fill="FFFFFF"/>
        </w:rPr>
        <w:t>19</w:t>
      </w:r>
      <w:r w:rsidRPr="009C1E74">
        <w:rPr>
          <w:rFonts w:ascii="Times New Roman" w:hAnsi="Times New Roman" w:cs="Times New Roman"/>
          <w:sz w:val="24"/>
          <w:szCs w:val="24"/>
          <w:shd w:val="clear" w:color="auto" w:fill="FFFFFF"/>
        </w:rPr>
        <w:t xml:space="preserve">(24), 15467-15482. </w:t>
      </w:r>
    </w:p>
    <w:p w14:paraId="5F547785" w14:textId="77777777" w:rsidR="00B66BAB" w:rsidRPr="00B66BAB" w:rsidRDefault="00B66BAB" w:rsidP="00B66BAB">
      <w:pPr>
        <w:spacing w:line="360" w:lineRule="auto"/>
        <w:jc w:val="both"/>
        <w:rPr>
          <w:rFonts w:ascii="Times New Roman" w:hAnsi="Times New Roman" w:cs="Times New Roman"/>
          <w:sz w:val="24"/>
          <w:szCs w:val="24"/>
          <w:shd w:val="clear" w:color="auto" w:fill="FFFFFF"/>
        </w:rPr>
      </w:pPr>
      <w:r w:rsidRPr="00B66BAB">
        <w:rPr>
          <w:rFonts w:ascii="Times New Roman" w:hAnsi="Times New Roman" w:cs="Times New Roman"/>
          <w:sz w:val="24"/>
          <w:szCs w:val="24"/>
          <w:shd w:val="clear" w:color="auto" w:fill="FFFFFF"/>
        </w:rPr>
        <w:t>Pandey, A., Brauer, M., Cropper, M. L., Balakrishnan, K., Mathur, P., Dey, S., ... &amp; Dandona, L. (2021). Health and economic impact of air pollution in the states of India: the Global Burden of Disease Study 2019. </w:t>
      </w:r>
      <w:r w:rsidRPr="00B66BAB">
        <w:rPr>
          <w:rFonts w:ascii="Times New Roman" w:hAnsi="Times New Roman" w:cs="Times New Roman"/>
          <w:iCs/>
          <w:sz w:val="24"/>
          <w:szCs w:val="24"/>
          <w:shd w:val="clear" w:color="auto" w:fill="FFFFFF"/>
        </w:rPr>
        <w:t>The Lancet Planetary Health</w:t>
      </w:r>
      <w:r w:rsidRPr="00B66BAB">
        <w:rPr>
          <w:rFonts w:ascii="Times New Roman" w:hAnsi="Times New Roman" w:cs="Times New Roman"/>
          <w:sz w:val="24"/>
          <w:szCs w:val="24"/>
          <w:shd w:val="clear" w:color="auto" w:fill="FFFFFF"/>
        </w:rPr>
        <w:t>, </w:t>
      </w:r>
      <w:r w:rsidRPr="00B66BAB">
        <w:rPr>
          <w:rFonts w:ascii="Times New Roman" w:hAnsi="Times New Roman" w:cs="Times New Roman"/>
          <w:iCs/>
          <w:sz w:val="24"/>
          <w:szCs w:val="24"/>
          <w:shd w:val="clear" w:color="auto" w:fill="FFFFFF"/>
        </w:rPr>
        <w:t>5</w:t>
      </w:r>
      <w:r w:rsidRPr="00B66BAB">
        <w:rPr>
          <w:rFonts w:ascii="Times New Roman" w:hAnsi="Times New Roman" w:cs="Times New Roman"/>
          <w:sz w:val="24"/>
          <w:szCs w:val="24"/>
          <w:shd w:val="clear" w:color="auto" w:fill="FFFFFF"/>
        </w:rPr>
        <w:t>(1), e25-e38.</w:t>
      </w:r>
    </w:p>
    <w:p w14:paraId="467A1A4F" w14:textId="77777777" w:rsidR="00B66BAB" w:rsidRPr="00B66BAB" w:rsidRDefault="00B66BAB" w:rsidP="00B66BAB">
      <w:pPr>
        <w:spacing w:line="360" w:lineRule="auto"/>
        <w:jc w:val="both"/>
        <w:rPr>
          <w:rFonts w:ascii="Times New Roman" w:hAnsi="Times New Roman" w:cs="Times New Roman"/>
          <w:sz w:val="24"/>
          <w:szCs w:val="24"/>
          <w:shd w:val="clear" w:color="auto" w:fill="FFFFFF"/>
        </w:rPr>
      </w:pPr>
      <w:r w:rsidRPr="00B66BAB">
        <w:rPr>
          <w:rFonts w:ascii="Times New Roman" w:hAnsi="Times New Roman" w:cs="Times New Roman"/>
          <w:sz w:val="24"/>
          <w:szCs w:val="24"/>
          <w:shd w:val="clear" w:color="auto" w:fill="FFFFFF"/>
        </w:rPr>
        <w:t>Pant, P., &amp; Harrison, R. M. (2012). Critical review of receptor modelling for particulate matter: a case study of India. </w:t>
      </w:r>
      <w:r w:rsidRPr="00B66BAB">
        <w:rPr>
          <w:rFonts w:ascii="Times New Roman" w:hAnsi="Times New Roman" w:cs="Times New Roman"/>
          <w:iCs/>
          <w:sz w:val="24"/>
          <w:szCs w:val="24"/>
          <w:shd w:val="clear" w:color="auto" w:fill="FFFFFF"/>
        </w:rPr>
        <w:t>Atmospheric Environment</w:t>
      </w:r>
      <w:r w:rsidRPr="00B66BAB">
        <w:rPr>
          <w:rFonts w:ascii="Times New Roman" w:hAnsi="Times New Roman" w:cs="Times New Roman"/>
          <w:sz w:val="24"/>
          <w:szCs w:val="24"/>
          <w:shd w:val="clear" w:color="auto" w:fill="FFFFFF"/>
        </w:rPr>
        <w:t>, </w:t>
      </w:r>
      <w:r w:rsidRPr="00B66BAB">
        <w:rPr>
          <w:rFonts w:ascii="Times New Roman" w:hAnsi="Times New Roman" w:cs="Times New Roman"/>
          <w:iCs/>
          <w:sz w:val="24"/>
          <w:szCs w:val="24"/>
          <w:shd w:val="clear" w:color="auto" w:fill="FFFFFF"/>
        </w:rPr>
        <w:t>49</w:t>
      </w:r>
      <w:r w:rsidRPr="00B66BAB">
        <w:rPr>
          <w:rFonts w:ascii="Times New Roman" w:hAnsi="Times New Roman" w:cs="Times New Roman"/>
          <w:sz w:val="24"/>
          <w:szCs w:val="24"/>
          <w:shd w:val="clear" w:color="auto" w:fill="FFFFFF"/>
        </w:rPr>
        <w:t>, 1-12.</w:t>
      </w:r>
    </w:p>
    <w:p w14:paraId="55501F3E" w14:textId="77777777" w:rsidR="00B66BAB" w:rsidRPr="00B66BAB" w:rsidRDefault="00B66BAB" w:rsidP="00B66BAB">
      <w:pPr>
        <w:spacing w:line="360" w:lineRule="auto"/>
        <w:jc w:val="both"/>
        <w:rPr>
          <w:rFonts w:ascii="Times New Roman" w:hAnsi="Times New Roman" w:cs="Times New Roman"/>
          <w:sz w:val="24"/>
          <w:szCs w:val="24"/>
          <w:shd w:val="clear" w:color="auto" w:fill="FFFFFF"/>
        </w:rPr>
      </w:pPr>
      <w:r w:rsidRPr="00B66BAB">
        <w:rPr>
          <w:rFonts w:ascii="Times New Roman" w:hAnsi="Times New Roman" w:cs="Times New Roman"/>
          <w:sz w:val="24"/>
          <w:szCs w:val="24"/>
          <w:shd w:val="clear" w:color="auto" w:fill="FFFFFF"/>
        </w:rPr>
        <w:t>Pant, P., Lal, R. M., Guttikunda, S. K., Russell, A. G., Nagpure, A. S., Ramaswami, A., &amp; Peltier, R. E. (2019). Monitoring particulate matter in India: recent trends and future outlook. </w:t>
      </w:r>
      <w:r w:rsidRPr="00B66BAB">
        <w:rPr>
          <w:rFonts w:ascii="Times New Roman" w:hAnsi="Times New Roman" w:cs="Times New Roman"/>
          <w:iCs/>
          <w:sz w:val="24"/>
          <w:szCs w:val="24"/>
          <w:shd w:val="clear" w:color="auto" w:fill="FFFFFF"/>
        </w:rPr>
        <w:t>Air Quality, Atmosphere &amp; Health</w:t>
      </w:r>
      <w:r w:rsidRPr="00B66BAB">
        <w:rPr>
          <w:rFonts w:ascii="Times New Roman" w:hAnsi="Times New Roman" w:cs="Times New Roman"/>
          <w:sz w:val="24"/>
          <w:szCs w:val="24"/>
          <w:shd w:val="clear" w:color="auto" w:fill="FFFFFF"/>
        </w:rPr>
        <w:t>, </w:t>
      </w:r>
      <w:r w:rsidRPr="00B66BAB">
        <w:rPr>
          <w:rFonts w:ascii="Times New Roman" w:hAnsi="Times New Roman" w:cs="Times New Roman"/>
          <w:iCs/>
          <w:sz w:val="24"/>
          <w:szCs w:val="24"/>
          <w:shd w:val="clear" w:color="auto" w:fill="FFFFFF"/>
        </w:rPr>
        <w:t>12</w:t>
      </w:r>
      <w:r w:rsidRPr="00B66BAB">
        <w:rPr>
          <w:rFonts w:ascii="Times New Roman" w:hAnsi="Times New Roman" w:cs="Times New Roman"/>
          <w:sz w:val="24"/>
          <w:szCs w:val="24"/>
          <w:shd w:val="clear" w:color="auto" w:fill="FFFFFF"/>
        </w:rPr>
        <w:t>(1), 45-58.</w:t>
      </w:r>
    </w:p>
    <w:p w14:paraId="0DF2F7C0" w14:textId="4402C425" w:rsidR="009C1E74" w:rsidRPr="00F26949" w:rsidRDefault="00476446" w:rsidP="002D26AF">
      <w:pPr>
        <w:spacing w:line="360" w:lineRule="auto"/>
        <w:jc w:val="both"/>
        <w:rPr>
          <w:rFonts w:ascii="Times New Roman" w:hAnsi="Times New Roman" w:cs="Times New Roman"/>
          <w:sz w:val="24"/>
          <w:szCs w:val="24"/>
          <w:shd w:val="clear" w:color="auto" w:fill="FFFFFF"/>
        </w:rPr>
      </w:pPr>
      <w:r w:rsidRPr="00476446">
        <w:rPr>
          <w:rFonts w:ascii="Times New Roman" w:hAnsi="Times New Roman" w:cs="Times New Roman"/>
          <w:sz w:val="24"/>
          <w:szCs w:val="24"/>
          <w:shd w:val="clear" w:color="auto" w:fill="FFFFFF"/>
        </w:rPr>
        <w:t>Paterson, K. G., Sagady, J. L., Hooper, D. L., Bertman, S. B., Carroll, M. A., &amp; Shepson, P. B. (1999). Analysis of air quality data using positive matrix factorization. </w:t>
      </w:r>
      <w:r w:rsidRPr="00476446">
        <w:rPr>
          <w:rFonts w:ascii="Times New Roman" w:hAnsi="Times New Roman" w:cs="Times New Roman"/>
          <w:iCs/>
          <w:sz w:val="24"/>
          <w:szCs w:val="24"/>
          <w:shd w:val="clear" w:color="auto" w:fill="FFFFFF"/>
        </w:rPr>
        <w:t>Environmental Science &amp; Technology</w:t>
      </w:r>
      <w:r w:rsidRPr="00476446">
        <w:rPr>
          <w:rFonts w:ascii="Times New Roman" w:hAnsi="Times New Roman" w:cs="Times New Roman"/>
          <w:sz w:val="24"/>
          <w:szCs w:val="24"/>
          <w:shd w:val="clear" w:color="auto" w:fill="FFFFFF"/>
        </w:rPr>
        <w:t>, </w:t>
      </w:r>
      <w:r w:rsidRPr="00476446">
        <w:rPr>
          <w:rFonts w:ascii="Times New Roman" w:hAnsi="Times New Roman" w:cs="Times New Roman"/>
          <w:iCs/>
          <w:sz w:val="24"/>
          <w:szCs w:val="24"/>
          <w:shd w:val="clear" w:color="auto" w:fill="FFFFFF"/>
        </w:rPr>
        <w:t>33</w:t>
      </w:r>
      <w:r w:rsidRPr="00476446">
        <w:rPr>
          <w:rFonts w:ascii="Times New Roman" w:hAnsi="Times New Roman" w:cs="Times New Roman"/>
          <w:sz w:val="24"/>
          <w:szCs w:val="24"/>
          <w:shd w:val="clear" w:color="auto" w:fill="FFFFFF"/>
        </w:rPr>
        <w:t>(4), 635-641.</w:t>
      </w:r>
    </w:p>
    <w:p w14:paraId="55A47C8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Paulot, F., Wunch, D., Crounse, J. D., Toon, G. C., Millet, D. B., DeCarlo, P. F., Vigouroux, C., Deutscher, N. M., González Abad, G., Notholt, J., Warneke, T., Hannigan, J. W., Warneke, C., de Gouw, J. A., Dunlea, E. J., De Mazière, M., Griffith, D. W. T., Bernath, P., Jimenez, J. L., and Wennberg, P. O. (2011). Importance of secondary sources in the atmospheric budgets of formic and acetic acids, Atmos. Chem. Phys., 11, 1989–2013, https://doi.org/10.5194/acp-11-1989-2011.</w:t>
      </w:r>
    </w:p>
    <w:p w14:paraId="224AC73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Pawar, H., Garg, S., Kumar, V., Sachan, H., Arya, R., Sarkar, C., Chandra, B. P., and Sinha, B. (2015). Quantifying the contribution of long-range transport to particulate matter (PM) mass loadings at a suburban site in the north-western Indo- Gangetic Plain (NW-IGP), Atmos. Chem. Phys., 15, 9501–9520, https://doi.org/10.5194/acp-15-9501-2015.</w:t>
      </w:r>
    </w:p>
    <w:p w14:paraId="29C9B0A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Pekney, N. J., Davidson, C. I., Robinson, A., Zhou, L., Hopke, P., Eatough, D., &amp; Rogge, W. F. (2006). Major source categories for PM2. 5 in Pittsburgh using PMF and UNMIX. Aerosol science and technology, 40(10), 910-924.</w:t>
      </w:r>
    </w:p>
    <w:p w14:paraId="398B7D98"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Pena, M. S. B., &amp; Rollins, A. (2017). Environmental exposures and cardiovascular disease: a challenge for health and development in low-and middle-income countries. Cardiology clinics, 35(1), 71-86.</w:t>
      </w:r>
    </w:p>
    <w:p w14:paraId="2DB3D431" w14:textId="5C9A4458" w:rsidR="00A20B54" w:rsidRPr="00F26949" w:rsidRDefault="00A20B54" w:rsidP="002D26AF">
      <w:pPr>
        <w:spacing w:line="360" w:lineRule="auto"/>
        <w:jc w:val="both"/>
        <w:rPr>
          <w:rFonts w:ascii="Times New Roman" w:hAnsi="Times New Roman" w:cs="Times New Roman"/>
          <w:sz w:val="24"/>
          <w:szCs w:val="24"/>
        </w:rPr>
      </w:pPr>
      <w:r w:rsidRPr="00A20B54">
        <w:rPr>
          <w:rFonts w:ascii="Times New Roman" w:hAnsi="Times New Roman" w:cs="Times New Roman"/>
          <w:sz w:val="24"/>
          <w:szCs w:val="24"/>
        </w:rPr>
        <w:t>Polissar, A. V., Hopke, P. K., Paatero, P., Malm, W. C., &amp; Sisler, J. F. (1998). Atmospheric aerosol over Alaska: 2. Elemental composition and sources. </w:t>
      </w:r>
      <w:r w:rsidRPr="00A20B54">
        <w:rPr>
          <w:rFonts w:ascii="Times New Roman" w:hAnsi="Times New Roman" w:cs="Times New Roman"/>
          <w:iCs/>
          <w:sz w:val="24"/>
          <w:szCs w:val="24"/>
        </w:rPr>
        <w:t>Journal of Geophysical Research: Atmospheres</w:t>
      </w:r>
      <w:r w:rsidRPr="00A20B54">
        <w:rPr>
          <w:rFonts w:ascii="Times New Roman" w:hAnsi="Times New Roman" w:cs="Times New Roman"/>
          <w:sz w:val="24"/>
          <w:szCs w:val="24"/>
        </w:rPr>
        <w:t>, </w:t>
      </w:r>
      <w:r w:rsidRPr="00A20B54">
        <w:rPr>
          <w:rFonts w:ascii="Times New Roman" w:hAnsi="Times New Roman" w:cs="Times New Roman"/>
          <w:iCs/>
          <w:sz w:val="24"/>
          <w:szCs w:val="24"/>
        </w:rPr>
        <w:t>103</w:t>
      </w:r>
      <w:r w:rsidRPr="00A20B54">
        <w:rPr>
          <w:rFonts w:ascii="Times New Roman" w:hAnsi="Times New Roman" w:cs="Times New Roman"/>
          <w:sz w:val="24"/>
          <w:szCs w:val="24"/>
        </w:rPr>
        <w:t>(D15), 19045-19057.</w:t>
      </w:r>
    </w:p>
    <w:p w14:paraId="375DF22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Possanzini, M., Buttini, P., &amp; Di Palo, V. (1988). Characterization of a rural area in terms of dry and wet deposition. Science of the Total Environment, 74, 111-120.</w:t>
      </w:r>
    </w:p>
    <w:p w14:paraId="2A1FBC61"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Proton-transfer-reaction mass spectroscopy figure 2.4 (b). From: 2nd Int. Conf. PTRMS and Its Applications, Institute für Ionenphysik der Leopold-Franzens-Universität, 2004, editor A. Hansel and T. Märk.</w:t>
      </w:r>
    </w:p>
    <w:p w14:paraId="1E8A9288"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Purohit, P., Amann, M., Kiesewetter, G., Rafaj, P., Chaturvedi, V., Dholakia, H. H., ... &amp; Sander, R. (2019). Mitigation pathways towards national ambient air quality standards in India. Environment international, 133, 105147.</w:t>
      </w:r>
    </w:p>
    <w:p w14:paraId="7721AE54" w14:textId="670DEC3D" w:rsidR="00C53416" w:rsidRDefault="00C53416" w:rsidP="002D26AF">
      <w:pPr>
        <w:spacing w:line="360" w:lineRule="auto"/>
        <w:jc w:val="both"/>
        <w:rPr>
          <w:rFonts w:ascii="Times New Roman" w:hAnsi="Times New Roman" w:cs="Times New Roman"/>
          <w:sz w:val="24"/>
          <w:szCs w:val="24"/>
        </w:rPr>
      </w:pPr>
      <w:r w:rsidRPr="00C53416">
        <w:rPr>
          <w:rFonts w:ascii="Times New Roman" w:hAnsi="Times New Roman" w:cs="Times New Roman"/>
          <w:sz w:val="24"/>
          <w:szCs w:val="24"/>
        </w:rPr>
        <w:t>Qu, Z., Henze, D. K., Worden, H. M., Jiang, Z., Gaubert, B., Theys, N., &amp; Wang, W. (2022). Sector‐based top‐down estimates of NOx, SO2, and CO emissions in East Asia. </w:t>
      </w:r>
      <w:r w:rsidRPr="00C53416">
        <w:rPr>
          <w:rFonts w:ascii="Times New Roman" w:hAnsi="Times New Roman" w:cs="Times New Roman"/>
          <w:iCs/>
          <w:sz w:val="24"/>
          <w:szCs w:val="24"/>
        </w:rPr>
        <w:t>Geophysical Research Letters</w:t>
      </w:r>
      <w:r w:rsidRPr="00C53416">
        <w:rPr>
          <w:rFonts w:ascii="Times New Roman" w:hAnsi="Times New Roman" w:cs="Times New Roman"/>
          <w:sz w:val="24"/>
          <w:szCs w:val="24"/>
        </w:rPr>
        <w:t>, </w:t>
      </w:r>
      <w:r w:rsidRPr="00C53416">
        <w:rPr>
          <w:rFonts w:ascii="Times New Roman" w:hAnsi="Times New Roman" w:cs="Times New Roman"/>
          <w:iCs/>
          <w:sz w:val="24"/>
          <w:szCs w:val="24"/>
        </w:rPr>
        <w:t>49</w:t>
      </w:r>
      <w:r w:rsidRPr="00C53416">
        <w:rPr>
          <w:rFonts w:ascii="Times New Roman" w:hAnsi="Times New Roman" w:cs="Times New Roman"/>
          <w:sz w:val="24"/>
          <w:szCs w:val="24"/>
        </w:rPr>
        <w:t>(2), e2021GL096009.</w:t>
      </w:r>
    </w:p>
    <w:p w14:paraId="3A455B02" w14:textId="484AFEC1" w:rsidR="00DD5D9E" w:rsidRPr="00F26949" w:rsidRDefault="00EA73F8" w:rsidP="002D26AF">
      <w:pPr>
        <w:spacing w:line="360" w:lineRule="auto"/>
        <w:jc w:val="both"/>
        <w:rPr>
          <w:rFonts w:ascii="Times New Roman" w:hAnsi="Times New Roman" w:cs="Times New Roman"/>
          <w:sz w:val="24"/>
          <w:szCs w:val="24"/>
        </w:rPr>
      </w:pPr>
      <w:r w:rsidRPr="00EA73F8">
        <w:rPr>
          <w:rFonts w:ascii="Times New Roman" w:hAnsi="Times New Roman" w:cs="Times New Roman"/>
          <w:sz w:val="24"/>
          <w:szCs w:val="24"/>
        </w:rPr>
        <w:t>Rai, P., Furger, M., El Haddad, I., Kumar, V., Wang, L., Singh, A., ... &amp; Prévôt, A. S. (2020). Real-time measurement and source apportionment of elements in Delhi's atmosphere. </w:t>
      </w:r>
      <w:r w:rsidRPr="00EA73F8">
        <w:rPr>
          <w:rFonts w:ascii="Times New Roman" w:hAnsi="Times New Roman" w:cs="Times New Roman"/>
          <w:iCs/>
          <w:sz w:val="24"/>
          <w:szCs w:val="24"/>
        </w:rPr>
        <w:t>Science of the Total Environment</w:t>
      </w:r>
      <w:r w:rsidRPr="00EA73F8">
        <w:rPr>
          <w:rFonts w:ascii="Times New Roman" w:hAnsi="Times New Roman" w:cs="Times New Roman"/>
          <w:sz w:val="24"/>
          <w:szCs w:val="24"/>
        </w:rPr>
        <w:t>, </w:t>
      </w:r>
      <w:r w:rsidRPr="00EA73F8">
        <w:rPr>
          <w:rFonts w:ascii="Times New Roman" w:hAnsi="Times New Roman" w:cs="Times New Roman"/>
          <w:iCs/>
          <w:sz w:val="24"/>
          <w:szCs w:val="24"/>
        </w:rPr>
        <w:t>742</w:t>
      </w:r>
      <w:r w:rsidRPr="00EA73F8">
        <w:rPr>
          <w:rFonts w:ascii="Times New Roman" w:hAnsi="Times New Roman" w:cs="Times New Roman"/>
          <w:sz w:val="24"/>
          <w:szCs w:val="24"/>
        </w:rPr>
        <w:t>, 140332.</w:t>
      </w:r>
    </w:p>
    <w:p w14:paraId="45243536" w14:textId="5B0ACC43"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Ramanathan,  V.,  Cicerone,  R.  J.,  Singh,  H.  B.,  and  Kiehl, J. T. (1985). Trace gas trends and their potential  role  in  climate change,</w:t>
      </w:r>
      <w:r w:rsidR="00DD5D9E">
        <w:rPr>
          <w:rFonts w:ascii="Times New Roman" w:hAnsi="Times New Roman" w:cs="Times New Roman"/>
          <w:sz w:val="24"/>
          <w:szCs w:val="24"/>
        </w:rPr>
        <w:t xml:space="preserve"> </w:t>
      </w:r>
      <w:r w:rsidR="00DD5D9E" w:rsidRPr="00DD5D9E">
        <w:rPr>
          <w:rFonts w:ascii="Times New Roman" w:hAnsi="Times New Roman" w:cs="Times New Roman"/>
          <w:iCs/>
          <w:sz w:val="24"/>
          <w:szCs w:val="24"/>
        </w:rPr>
        <w:t>Journal of Geophysical Research: Atmospheres</w:t>
      </w:r>
      <w:r w:rsidR="00DD5D9E" w:rsidRPr="00DD5D9E">
        <w:rPr>
          <w:rFonts w:ascii="Times New Roman" w:hAnsi="Times New Roman" w:cs="Times New Roman"/>
          <w:sz w:val="24"/>
          <w:szCs w:val="24"/>
        </w:rPr>
        <w:t>, </w:t>
      </w:r>
      <w:r w:rsidR="00DD5D9E" w:rsidRPr="00DD5D9E">
        <w:rPr>
          <w:rFonts w:ascii="Times New Roman" w:hAnsi="Times New Roman" w:cs="Times New Roman"/>
          <w:iCs/>
          <w:sz w:val="24"/>
          <w:szCs w:val="24"/>
        </w:rPr>
        <w:t>90</w:t>
      </w:r>
      <w:r w:rsidR="00DD5D9E" w:rsidRPr="00DD5D9E">
        <w:rPr>
          <w:rFonts w:ascii="Times New Roman" w:hAnsi="Times New Roman" w:cs="Times New Roman"/>
          <w:sz w:val="24"/>
          <w:szCs w:val="24"/>
        </w:rPr>
        <w:t>(D3)</w:t>
      </w:r>
      <w:r w:rsidRPr="00F26949">
        <w:rPr>
          <w:rFonts w:ascii="Times New Roman" w:hAnsi="Times New Roman" w:cs="Times New Roman"/>
          <w:sz w:val="24"/>
          <w:szCs w:val="24"/>
        </w:rPr>
        <w:t>, 5547–5566, https://doi.org/10.1029/JD090iD03p05547.</w:t>
      </w:r>
    </w:p>
    <w:p w14:paraId="191A2F3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Rai, P., Chakraborty, A., Mandariya, A. K., &amp; Gupta, T. (2016). Composition and source apportionment of PM1 at urban site Kanpur in India using PMF coupled with CBPF. Atmospheric Research, 178, 506-520.</w:t>
      </w:r>
    </w:p>
    <w:p w14:paraId="1C92E9B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Rao, C. R. (1964). The use and interpretation of principal component analysis in applied research. Sankhyā: The Indian Journal of Statistics, Series A, 329-358.</w:t>
      </w:r>
    </w:p>
    <w:p w14:paraId="4B1DC270"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Ravindra, K., Sidhu, M. K., Mor, S., John, S., &amp; Pyne, S. (2016). Air pollution in India: bridging the gap between science and policy. Journal of Hazardous, Toxic, and Radioactive Waste, 20(4), A4015003.</w:t>
      </w:r>
    </w:p>
    <w:p w14:paraId="40F34392" w14:textId="77777777" w:rsidR="00503B2B" w:rsidRPr="00503B2B" w:rsidRDefault="00503B2B" w:rsidP="00503B2B">
      <w:pPr>
        <w:spacing w:line="360" w:lineRule="auto"/>
        <w:jc w:val="both"/>
        <w:rPr>
          <w:rFonts w:ascii="Times New Roman" w:hAnsi="Times New Roman" w:cs="Times New Roman"/>
          <w:sz w:val="24"/>
          <w:szCs w:val="24"/>
        </w:rPr>
      </w:pPr>
      <w:r w:rsidRPr="00503B2B">
        <w:rPr>
          <w:rFonts w:ascii="Times New Roman" w:hAnsi="Times New Roman" w:cs="Times New Roman"/>
          <w:sz w:val="24"/>
          <w:szCs w:val="24"/>
        </w:rPr>
        <w:t>Ravindra, K., Singh, T., &amp; Mor, S. (2019). Emissions of air pollutants from primary crop residue burning in India and their mitigation strategies for cleaner emissions. </w:t>
      </w:r>
      <w:r w:rsidRPr="00503B2B">
        <w:rPr>
          <w:rFonts w:ascii="Times New Roman" w:hAnsi="Times New Roman" w:cs="Times New Roman"/>
          <w:iCs/>
          <w:sz w:val="24"/>
          <w:szCs w:val="24"/>
        </w:rPr>
        <w:t>Journal of cleaner production</w:t>
      </w:r>
      <w:r w:rsidRPr="00503B2B">
        <w:rPr>
          <w:rFonts w:ascii="Times New Roman" w:hAnsi="Times New Roman" w:cs="Times New Roman"/>
          <w:sz w:val="24"/>
          <w:szCs w:val="24"/>
        </w:rPr>
        <w:t>, </w:t>
      </w:r>
      <w:r w:rsidRPr="00503B2B">
        <w:rPr>
          <w:rFonts w:ascii="Times New Roman" w:hAnsi="Times New Roman" w:cs="Times New Roman"/>
          <w:iCs/>
          <w:sz w:val="24"/>
          <w:szCs w:val="24"/>
        </w:rPr>
        <w:t>208</w:t>
      </w:r>
      <w:r w:rsidRPr="00503B2B">
        <w:rPr>
          <w:rFonts w:ascii="Times New Roman" w:hAnsi="Times New Roman" w:cs="Times New Roman"/>
          <w:sz w:val="24"/>
          <w:szCs w:val="24"/>
        </w:rPr>
        <w:t>, 261-273.</w:t>
      </w:r>
    </w:p>
    <w:p w14:paraId="31942D86" w14:textId="7DF4CDE5" w:rsidR="00503B2B" w:rsidRPr="00F26949" w:rsidRDefault="00503B2B" w:rsidP="002D26AF">
      <w:pPr>
        <w:spacing w:line="360" w:lineRule="auto"/>
        <w:jc w:val="both"/>
        <w:rPr>
          <w:rFonts w:ascii="Times New Roman" w:hAnsi="Times New Roman" w:cs="Times New Roman"/>
          <w:sz w:val="24"/>
          <w:szCs w:val="24"/>
        </w:rPr>
      </w:pPr>
      <w:r w:rsidRPr="00503B2B">
        <w:rPr>
          <w:rFonts w:ascii="Times New Roman" w:hAnsi="Times New Roman" w:cs="Times New Roman"/>
          <w:sz w:val="24"/>
          <w:szCs w:val="24"/>
        </w:rPr>
        <w:t>Ravindra, K., Singh, T., Pandey, V., &amp; Mor, S. (2020). Air pollution trend in Chandigarh city situated in Indo-Gangetic Plains: understanding seasonality and impact of mitigation strategies. </w:t>
      </w:r>
      <w:r w:rsidRPr="00503B2B">
        <w:rPr>
          <w:rFonts w:ascii="Times New Roman" w:hAnsi="Times New Roman" w:cs="Times New Roman"/>
          <w:iCs/>
          <w:sz w:val="24"/>
          <w:szCs w:val="24"/>
        </w:rPr>
        <w:t>Science of The Total Environment</w:t>
      </w:r>
      <w:r w:rsidRPr="00503B2B">
        <w:rPr>
          <w:rFonts w:ascii="Times New Roman" w:hAnsi="Times New Roman" w:cs="Times New Roman"/>
          <w:sz w:val="24"/>
          <w:szCs w:val="24"/>
        </w:rPr>
        <w:t>, </w:t>
      </w:r>
      <w:r w:rsidRPr="00503B2B">
        <w:rPr>
          <w:rFonts w:ascii="Times New Roman" w:hAnsi="Times New Roman" w:cs="Times New Roman"/>
          <w:iCs/>
          <w:sz w:val="24"/>
          <w:szCs w:val="24"/>
        </w:rPr>
        <w:t>729</w:t>
      </w:r>
      <w:r w:rsidRPr="00503B2B">
        <w:rPr>
          <w:rFonts w:ascii="Times New Roman" w:hAnsi="Times New Roman" w:cs="Times New Roman"/>
          <w:sz w:val="24"/>
          <w:szCs w:val="24"/>
        </w:rPr>
        <w:t>, 138717.</w:t>
      </w:r>
    </w:p>
    <w:p w14:paraId="4FB9272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Reff, A., Eberly, S. I., &amp; Bhave, P. V. (2007). Receptor modeling of ambient particulate matter data using positive matrix factorization: review of existing methods. Journal of the Air &amp; Waste Management Association, 57(2), 146-154.</w:t>
      </w:r>
    </w:p>
    <w:p w14:paraId="0D20665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Reshi, A. R., Sandhu, H. A. S., Cherubini, C., &amp; Tripathi, A. (2023). Estimating Land Subsidence and Gravimetric Anomaly Induced by Aquifer Overexploitation in the Chandigarh Tri-City Region, India by Coupling Remote Sensing with a Deep Learning Neural Network Model. Water, 15(6), 1206.</w:t>
      </w:r>
    </w:p>
    <w:p w14:paraId="2F035A5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Ritchie, H., &amp; Roser, M. (2013). Indoor air pollution. Our World in Data.</w:t>
      </w:r>
    </w:p>
    <w:p w14:paraId="2EADBF0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Rizwan, S. A., Nongkynrih, B., &amp; Gupta, S. K. (2013). Air pollution in Delhi: its magnitude and effects on health. Indian journal of community medicine: official publication of Indian Association of Preventive &amp; Social Medicine, 38(1), 4.</w:t>
      </w:r>
    </w:p>
    <w:p w14:paraId="5A86604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Roberts, J. M., Veres, P. R., Cochran, A. K., Warneke, C., Burling, I. R., Yokelson, R. J., Lerner, B., Gilman, J. B., Kuster, W. C., Fall, R., and de, G. J. (2011). Isocyanic acid in the atmosphere and its possible link to smoke-related health effects, P. Natl. Acad. Sci. USA, 108, 8966–8971.</w:t>
      </w:r>
    </w:p>
    <w:p w14:paraId="70299EB2"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Rogers, T., Grimsrud, E., Herndon, S., Jayne, J., Kolb, C. E., Allwine, E., Westberg, H., Lamb, B., Zavala, M., and Molina, L. (2006). On-road measurements of volatile organic compounds in the Mexico City metropolitan area using proton transfer reaction mass </w:t>
      </w:r>
      <w:r w:rsidRPr="00F26949">
        <w:rPr>
          <w:rFonts w:ascii="Times New Roman" w:hAnsi="Times New Roman" w:cs="Times New Roman"/>
          <w:sz w:val="24"/>
          <w:szCs w:val="24"/>
        </w:rPr>
        <w:lastRenderedPageBreak/>
        <w:t>spectrometry, Int. J. Mass Spectrom., 252, 26–37, https://doi.org/10.1016/j.ijms.2006.01.027.</w:t>
      </w:r>
    </w:p>
    <w:p w14:paraId="2D93324E" w14:textId="3BF34737" w:rsidR="00A029AD" w:rsidRPr="00F26949" w:rsidRDefault="00A029AD" w:rsidP="002D26AF">
      <w:pPr>
        <w:spacing w:line="360" w:lineRule="auto"/>
        <w:jc w:val="both"/>
        <w:rPr>
          <w:rFonts w:ascii="Times New Roman" w:hAnsi="Times New Roman" w:cs="Times New Roman"/>
          <w:sz w:val="24"/>
          <w:szCs w:val="24"/>
        </w:rPr>
      </w:pPr>
      <w:r w:rsidRPr="00A029AD">
        <w:rPr>
          <w:rFonts w:ascii="Times New Roman" w:hAnsi="Times New Roman" w:cs="Times New Roman"/>
          <w:sz w:val="24"/>
          <w:szCs w:val="24"/>
        </w:rPr>
        <w:t>Ryou, H.G., Heo, J., &amp; Kim, S. Y. (2018). Source apportionment of PM10 and PM2. 5 air pollution, and possible impacts of study characteristics in South Korea. </w:t>
      </w:r>
      <w:r w:rsidRPr="00A029AD">
        <w:rPr>
          <w:rFonts w:ascii="Times New Roman" w:hAnsi="Times New Roman" w:cs="Times New Roman"/>
          <w:iCs/>
          <w:sz w:val="24"/>
          <w:szCs w:val="24"/>
        </w:rPr>
        <w:t>Environmental pollution</w:t>
      </w:r>
      <w:r w:rsidRPr="00A029AD">
        <w:rPr>
          <w:rFonts w:ascii="Times New Roman" w:hAnsi="Times New Roman" w:cs="Times New Roman"/>
          <w:sz w:val="24"/>
          <w:szCs w:val="24"/>
        </w:rPr>
        <w:t>, </w:t>
      </w:r>
      <w:r w:rsidRPr="00A029AD">
        <w:rPr>
          <w:rFonts w:ascii="Times New Roman" w:hAnsi="Times New Roman" w:cs="Times New Roman"/>
          <w:iCs/>
          <w:sz w:val="24"/>
          <w:szCs w:val="24"/>
        </w:rPr>
        <w:t>240</w:t>
      </w:r>
      <w:r w:rsidRPr="00A029AD">
        <w:rPr>
          <w:rFonts w:ascii="Times New Roman" w:hAnsi="Times New Roman" w:cs="Times New Roman"/>
          <w:sz w:val="24"/>
          <w:szCs w:val="24"/>
        </w:rPr>
        <w:t>, 963-972</w:t>
      </w:r>
    </w:p>
    <w:p w14:paraId="07BA175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Saha, K. (2008). The Earth's atmosphere: Its physics and dynamics (pp. 367-1). Berlin: Springer.</w:t>
      </w:r>
    </w:p>
    <w:p w14:paraId="091F18A4"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Salameh, T., Afif, C., Sauvage, S., Borbon, A., and Locoge, N. (2014). Speciation of non-methane hydrocarbons (NMHCs) from anthropogenic sources in Beirut, Lebanon,  Environ.  Sci.  Pollut. Res., 21, 10867–10877, https://doi.org/10.1007/s11356-014-2978-5.</w:t>
      </w:r>
    </w:p>
    <w:p w14:paraId="0900F47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Salameh, T., Sauvage, S., Afif, C., Borbon, A., and Locoge, N. (2016). Source apportionment vs. emission inventories of non-methane hydrocarbons (NMHC) in an urban area of the Middle East: local and global perspectives, Atmos. Chem. Phys., 16, 3595–3607, https://doi.org/10.5194/acp-16-3595-2016.</w:t>
      </w:r>
    </w:p>
    <w:p w14:paraId="04B03FF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Samek, L., Stegowski, Z., &amp; Furman, L. (2016). Preliminary PM2. 5 and PM10 fractions source apportionment complemented by statistical accuracy determination. Nukleonika, 61(1), 75-83.</w:t>
      </w:r>
    </w:p>
    <w:p w14:paraId="7893D24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Sarkar, C., Sinha, V., Kumar, V., Rupakheti, M., Panday, A., Mahata, K. S., Rupakheti, D., Kathayat, B., and Lawrence, M. G. (2016). Overview of VOC emissions and chemistry from PTR-TOF- MS measurements during the SusKat-ABC campaign: high acetaldehyde, isoprene and isocyanic acid in wintertime air of the Kathmandu Valley, Atmos. Chem. Phys., 16, 3979–4003, https://doi.org/10.5194/acp-16-3979-2016.</w:t>
      </w:r>
    </w:p>
    <w:p w14:paraId="59F6FA4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Sarkar, C., Sinha, V., Sinha, B., Panday, A. K., Rupakheti, M., and Lawrence, M.  G. (2017).  Source  apportionment  of  NMVOCs in the Kathmandu Valley during the SusKat-ABC international field campaign using positive matrix factorization, Atmos. Chem. Phys., 17, 8129–8156, https://doi.org/10.5194/acp-17-8129-2017.</w:t>
      </w:r>
    </w:p>
    <w:p w14:paraId="72EC8C2C"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Seinfield, J. H., &amp; Pandis, S. N. (2006). Atmospheric Chemistry and Physics. From Air Pollution to Climate Change</w:t>
      </w:r>
    </w:p>
    <w:p w14:paraId="7DAEEFF9" w14:textId="0047E257" w:rsidR="00CC68F8" w:rsidRPr="00F26949" w:rsidRDefault="00CC68F8" w:rsidP="002D26AF">
      <w:pPr>
        <w:spacing w:line="360" w:lineRule="auto"/>
        <w:jc w:val="both"/>
        <w:rPr>
          <w:rFonts w:ascii="Times New Roman" w:hAnsi="Times New Roman" w:cs="Times New Roman"/>
          <w:sz w:val="24"/>
          <w:szCs w:val="24"/>
        </w:rPr>
      </w:pPr>
      <w:r w:rsidRPr="00CC68F8">
        <w:rPr>
          <w:rFonts w:ascii="Times New Roman" w:hAnsi="Times New Roman" w:cs="Times New Roman"/>
          <w:sz w:val="24"/>
          <w:szCs w:val="24"/>
        </w:rPr>
        <w:lastRenderedPageBreak/>
        <w:t>Selvaraju, N., Pushpavanam, S., &amp; Anu, N. (2013). A holistic approach combining factor analysis, positive matrix factorization, and chemical mass balance applied to receptor modeling. </w:t>
      </w:r>
      <w:r w:rsidRPr="00CC68F8">
        <w:rPr>
          <w:rFonts w:ascii="Times New Roman" w:hAnsi="Times New Roman" w:cs="Times New Roman"/>
          <w:iCs/>
          <w:sz w:val="24"/>
          <w:szCs w:val="24"/>
        </w:rPr>
        <w:t>Environmental monitoring and assessment</w:t>
      </w:r>
      <w:r w:rsidRPr="00CC68F8">
        <w:rPr>
          <w:rFonts w:ascii="Times New Roman" w:hAnsi="Times New Roman" w:cs="Times New Roman"/>
          <w:sz w:val="24"/>
          <w:szCs w:val="24"/>
        </w:rPr>
        <w:t>, </w:t>
      </w:r>
      <w:r w:rsidRPr="00CC68F8">
        <w:rPr>
          <w:rFonts w:ascii="Times New Roman" w:hAnsi="Times New Roman" w:cs="Times New Roman"/>
          <w:iCs/>
          <w:sz w:val="24"/>
          <w:szCs w:val="24"/>
        </w:rPr>
        <w:t>185</w:t>
      </w:r>
      <w:r w:rsidRPr="00CC68F8">
        <w:rPr>
          <w:rFonts w:ascii="Times New Roman" w:hAnsi="Times New Roman" w:cs="Times New Roman"/>
          <w:sz w:val="24"/>
          <w:szCs w:val="24"/>
        </w:rPr>
        <w:t>, 10115-10129.</w:t>
      </w:r>
    </w:p>
    <w:p w14:paraId="77CA630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Sharma, A. K., Baliyan, P., &amp; Kumar, P. (2018). Air pollution and public health: the challenges for Delhi, India. Reviews on environmental health, 33(1), 77-86.</w:t>
      </w:r>
    </w:p>
    <w:p w14:paraId="2A45E4E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Sharma, G., Sinha, B., Jangra, P., Hakkim, H., Chandra, B. P., Ku- mar, A., and Sinha, V. (2019). Gridded emissions of CO, NOx, SO2, CO2, NH3, HCl, CH4, PM2.5, PM10, BC and NMVOC from open municipal waste burning in India, Environ. Sci. Technol., 53, 4765–4774.</w:t>
      </w:r>
    </w:p>
    <w:p w14:paraId="566A3D6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Sharma, S. K., Mandal, T. K., Jain, S., Sharma, A., &amp; Saxena, M. (2016). Source apportionment of PM 2.5 in Delhi, India using PMF model. Bulletin of environmental contamination and toxicology, 97, 286-293.</w:t>
      </w:r>
    </w:p>
    <w:p w14:paraId="44C2F5C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Shea, K. M., Truckner, R. T., Weber, R. W., &amp; Peden, D. B. (2008). Climate change and allergic disease. Journal of allergy and clinical immunology, 122(3), 443-453.</w:t>
      </w:r>
    </w:p>
    <w:p w14:paraId="065ADCAF"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Sheng, N., &amp; Tang, U. W. (2016). The first official city ranking by air quality in China—A review and analysis. Cities, 51, 139-149.</w:t>
      </w:r>
    </w:p>
    <w:p w14:paraId="2AD6B3EE" w14:textId="5CF94976" w:rsidR="00C24A72" w:rsidRPr="00F26949" w:rsidRDefault="00C24A72" w:rsidP="002D26AF">
      <w:pPr>
        <w:spacing w:line="360" w:lineRule="auto"/>
        <w:jc w:val="both"/>
        <w:rPr>
          <w:rFonts w:ascii="Times New Roman" w:hAnsi="Times New Roman" w:cs="Times New Roman"/>
          <w:sz w:val="24"/>
          <w:szCs w:val="24"/>
        </w:rPr>
      </w:pPr>
      <w:r w:rsidRPr="00CC68F8">
        <w:rPr>
          <w:rFonts w:ascii="Times New Roman" w:hAnsi="Times New Roman" w:cs="Times New Roman"/>
          <w:sz w:val="24"/>
          <w:szCs w:val="24"/>
        </w:rPr>
        <w:t>Shukla, A. K., Lalchandani, V., Bhattu, D., Dave, J. S., Rai, P., Thamban, N. M., ... &amp; Tripathi, S. N. (2021). Real-time quantification and source apportionment of fine particulate matter including organics and elements in Delhi during summertime. </w:t>
      </w:r>
      <w:r w:rsidRPr="00CC68F8">
        <w:rPr>
          <w:rFonts w:ascii="Times New Roman" w:hAnsi="Times New Roman" w:cs="Times New Roman"/>
          <w:iCs/>
          <w:sz w:val="24"/>
          <w:szCs w:val="24"/>
        </w:rPr>
        <w:t>Atmospheric Environment</w:t>
      </w:r>
      <w:r w:rsidRPr="00CC68F8">
        <w:rPr>
          <w:rFonts w:ascii="Times New Roman" w:hAnsi="Times New Roman" w:cs="Times New Roman"/>
          <w:sz w:val="24"/>
          <w:szCs w:val="24"/>
        </w:rPr>
        <w:t>, </w:t>
      </w:r>
      <w:r w:rsidRPr="00CC68F8">
        <w:rPr>
          <w:rFonts w:ascii="Times New Roman" w:hAnsi="Times New Roman" w:cs="Times New Roman"/>
          <w:iCs/>
          <w:sz w:val="24"/>
          <w:szCs w:val="24"/>
        </w:rPr>
        <w:t>261</w:t>
      </w:r>
      <w:r w:rsidRPr="00CC68F8">
        <w:rPr>
          <w:rFonts w:ascii="Times New Roman" w:hAnsi="Times New Roman" w:cs="Times New Roman"/>
          <w:sz w:val="24"/>
          <w:szCs w:val="24"/>
        </w:rPr>
        <w:t>, 118598.</w:t>
      </w:r>
    </w:p>
    <w:p w14:paraId="66D0EAC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Sillman, S., &amp; Samson, P. J. (1995). Impact of temperature on oxidant photochemistry in urban, polluted rural and remote environments. Journal of Geophysical Research: Atmospheres, 100(D6), 11497-11508.</w:t>
      </w:r>
    </w:p>
    <w:p w14:paraId="77CCDAB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Sindelarova, K., Granier, C., Bouarar, I., Guenther, A., Tilmes, S., Stavrakou, T., Müller, J.-F., Kuhn, U., Stefani, P., and Knorr, W. (2014). Global data set of biogenic VOC emissions calculated by the MEGAN model over the last 30 years, Atmos. Chem. Phys., 14, 9317–9341, https://doi.org/10.5194/acp-14-9317-2014.</w:t>
      </w:r>
    </w:p>
    <w:p w14:paraId="08F0992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Sinha, V., Williams, J., Diesch, J. M., Drewnick, F., Martinez, M., Harder, H., Regelin, E., Kubistin, D., Bozem, H., Hosaynali- Beygi, Z., Fischer, H., Andrés-Hernández, M. D., Kartal, D., Adame, J. A., and Lelieveld, J. (2012). Constraints on instantaneous ozone </w:t>
      </w:r>
      <w:r w:rsidRPr="00F26949">
        <w:rPr>
          <w:rFonts w:ascii="Times New Roman" w:hAnsi="Times New Roman" w:cs="Times New Roman"/>
          <w:sz w:val="24"/>
          <w:szCs w:val="24"/>
        </w:rPr>
        <w:lastRenderedPageBreak/>
        <w:t>production rates and regimes during DOMINO derived using in-situ OH reactivity measurements, Atmos. Chem. Phys., 12, 7269–7283, https://doi.org/10.5194/acp-12-7269-2012.</w:t>
      </w:r>
    </w:p>
    <w:p w14:paraId="1130E11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Sinha, V., Kumar, V., and Sarkar, C. (2014).  Chemical composition of pre- monsoon air in the Indo-Gangetic Plain measured using a new air quality facility and PTR-MS: high surface ozone and strong influence of biomass burning, Atmos. Chem. Phys., 14, 5921– 5941, https://doi.org/10.5194/acp-14-5921-2014.</w:t>
      </w:r>
    </w:p>
    <w:p w14:paraId="1B36DF8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Smith, K. R. (2000). National burden of disease in India from indoor air pollution. Proceedings of the National Academy of Sciences, 97(24), 13286-13293.</w:t>
      </w:r>
    </w:p>
    <w:p w14:paraId="232936A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Smith, K. R., &amp; Mehta, S. (2003). The burden of disease from indoor air pollution in developing countries: comparison of estimates. International journal of hygiene and environmental health, 206(4-5), 279-289.</w:t>
      </w:r>
    </w:p>
    <w:p w14:paraId="7F224F8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Smith, K. R., Bruce, N., Balakrishnan, K., Adair-Rohani, H., Balmes, J., Chafe, Z., ... &amp; Rehfuess, E. (2014). Millions dead: how do we know and what does it mean? Methods used in the comparative risk assessment of household air pollution. Annual review of public health, 35, 185-206.</w:t>
      </w:r>
    </w:p>
    <w:p w14:paraId="6251C3FC"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Sofowote, U. M., Su, Y., Dabek-Zlotorzynska, E., Rastogi, A. K., Brook, J., &amp; Hopke, P. K. (2015). Constraining the factor analytical solutions obtained from multiple-year receptor modeling of ambient PM2. 5 data from five speciation sites in Ontario, Canada. Atmospheric Environment, 108, 151-157.</w:t>
      </w:r>
    </w:p>
    <w:p w14:paraId="75D88192"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Song, Y., Dai, W., Shao, M., Liu, Y., Lu, S., Kuster, W., &amp; Goldan, P. (2008). Comparison of receptor models for source apportionment of volatile organic compounds in Beijing, China, 156, 174–183. http://doi.org/10.1016/j.envpol.2007.12.014</w:t>
      </w:r>
    </w:p>
    <w:p w14:paraId="0DEFB4E1" w14:textId="77777777" w:rsidR="002D26AF"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Soni, V., Singh, P., Shree, V., &amp; Goel, V. (2018). Effects of VOCs on human health. Air pollution and control, 119-142.</w:t>
      </w:r>
    </w:p>
    <w:p w14:paraId="402D11A1" w14:textId="431B1B0C" w:rsidR="00820FD3" w:rsidRPr="00F26949" w:rsidRDefault="00820FD3" w:rsidP="002D26AF">
      <w:pPr>
        <w:spacing w:line="360" w:lineRule="auto"/>
        <w:jc w:val="both"/>
        <w:rPr>
          <w:rFonts w:ascii="Times New Roman" w:hAnsi="Times New Roman" w:cs="Times New Roman"/>
          <w:sz w:val="24"/>
          <w:szCs w:val="24"/>
          <w:shd w:val="clear" w:color="auto" w:fill="FFFFFF"/>
        </w:rPr>
      </w:pPr>
      <w:r w:rsidRPr="00820FD3">
        <w:rPr>
          <w:rFonts w:ascii="Times New Roman" w:hAnsi="Times New Roman" w:cs="Times New Roman"/>
          <w:sz w:val="24"/>
          <w:szCs w:val="24"/>
          <w:shd w:val="clear" w:color="auto" w:fill="FFFFFF"/>
        </w:rPr>
        <w:t>Srimuruganandam, B., &amp; Nagendra, S. S. (2012). Application of positive matrix factorization in characterization of PM10 and PM2. 5 emission sources at urban roadside. </w:t>
      </w:r>
      <w:r w:rsidRPr="00820FD3">
        <w:rPr>
          <w:rFonts w:ascii="Times New Roman" w:hAnsi="Times New Roman" w:cs="Times New Roman"/>
          <w:iCs/>
          <w:sz w:val="24"/>
          <w:szCs w:val="24"/>
          <w:shd w:val="clear" w:color="auto" w:fill="FFFFFF"/>
        </w:rPr>
        <w:t>Chemosphere</w:t>
      </w:r>
      <w:r w:rsidRPr="00820FD3">
        <w:rPr>
          <w:rFonts w:ascii="Times New Roman" w:hAnsi="Times New Roman" w:cs="Times New Roman"/>
          <w:sz w:val="24"/>
          <w:szCs w:val="24"/>
          <w:shd w:val="clear" w:color="auto" w:fill="FFFFFF"/>
        </w:rPr>
        <w:t>, </w:t>
      </w:r>
      <w:r w:rsidRPr="00820FD3">
        <w:rPr>
          <w:rFonts w:ascii="Times New Roman" w:hAnsi="Times New Roman" w:cs="Times New Roman"/>
          <w:iCs/>
          <w:sz w:val="24"/>
          <w:szCs w:val="24"/>
          <w:shd w:val="clear" w:color="auto" w:fill="FFFFFF"/>
        </w:rPr>
        <w:t>88</w:t>
      </w:r>
      <w:r w:rsidRPr="00820FD3">
        <w:rPr>
          <w:rFonts w:ascii="Times New Roman" w:hAnsi="Times New Roman" w:cs="Times New Roman"/>
          <w:sz w:val="24"/>
          <w:szCs w:val="24"/>
          <w:shd w:val="clear" w:color="auto" w:fill="FFFFFF"/>
        </w:rPr>
        <w:t>(1), 120-130.</w:t>
      </w:r>
    </w:p>
    <w:p w14:paraId="3FFAD283"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Srivastava, A. (2004).  Source   apportionment   of   ambient   VOCS in Mumbai city, Atmos. Environ., 38, 6829–6843, https://doi.org/10.1016/j.atmosenv.2004.09.009.</w:t>
      </w:r>
    </w:p>
    <w:p w14:paraId="146ABCF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Srivastava, A., Sengupta, B., and Dutta, S. (2005). Source apportionment of ambient VOCs in Delhi City, Sci. Total Environ., 343, 207–220, https://doi.org/10.1016/j.scitotenv.2004.10.008.</w:t>
      </w:r>
    </w:p>
    <w:p w14:paraId="5DE00D3F"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Srivastava, A., Joseph, A. E., &amp; Devotta, S. (2006). Volatile organic compounds in ambient air of Mumbai—India. Atmospheric Environment, 40(5), 892-903.</w:t>
      </w:r>
    </w:p>
    <w:p w14:paraId="5BC19438" w14:textId="372CC091" w:rsidR="00917BE2" w:rsidRPr="00F26949" w:rsidRDefault="00917BE2" w:rsidP="002D26AF">
      <w:pPr>
        <w:spacing w:line="360" w:lineRule="auto"/>
        <w:jc w:val="both"/>
        <w:rPr>
          <w:rFonts w:ascii="Times New Roman" w:hAnsi="Times New Roman" w:cs="Times New Roman"/>
          <w:sz w:val="24"/>
          <w:szCs w:val="24"/>
        </w:rPr>
      </w:pPr>
      <w:r w:rsidRPr="00917BE2">
        <w:rPr>
          <w:rFonts w:ascii="Times New Roman" w:hAnsi="Times New Roman" w:cs="Times New Roman"/>
          <w:sz w:val="24"/>
          <w:szCs w:val="24"/>
        </w:rPr>
        <w:t>Srivastava, A., Gupta, S., &amp; Jain, V. K. (2008). Source apportionment of total suspended particulate matter in coarse and fine size ranges over Delhi. </w:t>
      </w:r>
      <w:r w:rsidRPr="00917BE2">
        <w:rPr>
          <w:rFonts w:ascii="Times New Roman" w:hAnsi="Times New Roman" w:cs="Times New Roman"/>
          <w:iCs/>
          <w:sz w:val="24"/>
          <w:szCs w:val="24"/>
        </w:rPr>
        <w:t>Aerosol and Air Quality Research</w:t>
      </w:r>
      <w:r w:rsidRPr="00917BE2">
        <w:rPr>
          <w:rFonts w:ascii="Times New Roman" w:hAnsi="Times New Roman" w:cs="Times New Roman"/>
          <w:sz w:val="24"/>
          <w:szCs w:val="24"/>
        </w:rPr>
        <w:t>, </w:t>
      </w:r>
      <w:r w:rsidRPr="00917BE2">
        <w:rPr>
          <w:rFonts w:ascii="Times New Roman" w:hAnsi="Times New Roman" w:cs="Times New Roman"/>
          <w:iCs/>
          <w:sz w:val="24"/>
          <w:szCs w:val="24"/>
        </w:rPr>
        <w:t>8</w:t>
      </w:r>
      <w:r w:rsidRPr="00917BE2">
        <w:rPr>
          <w:rFonts w:ascii="Times New Roman" w:hAnsi="Times New Roman" w:cs="Times New Roman"/>
          <w:sz w:val="24"/>
          <w:szCs w:val="24"/>
        </w:rPr>
        <w:t>(2), 188-200.</w:t>
      </w:r>
    </w:p>
    <w:p w14:paraId="7769089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Stern, A. C. (1977). Air Pollution: The effects of air pollution (Vol. 2). Elsevier.</w:t>
      </w:r>
    </w:p>
    <w:p w14:paraId="137B9FD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Stockwell, C. E., Christian, T. J., Goetz, J. D., Jayarathne, T., Bhave, P. V., Praveen, P. S., Adhikari, S., Maharjan, R., De- Carlo, P. F., Stone, E. A., Saikawa, E., Blake, D. R., Simpson, I. J., Yokelson, R. J., and Panday, A. K. (2016). Nepal Ambient Monitoring and Source Testing Experiment (NAMaSTE): emissions of trace gases and light-absorbing carbon from wood and dung cooking fires, garbage and crop residue burning, brick kilns, and other sources, Atmos. Chem. Phys., 16, 11043–11081, https://doi.org/10.5194/acp-16-11043-2016.</w:t>
      </w:r>
    </w:p>
    <w:p w14:paraId="08AFAEE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Stockwell, C. E., Veres, P. R., Williams, J., &amp; Yokelson, R. J. (2015). Characterization of biomass burning emissions from cooking fires, peat, crop residue, and other fuels with high-resolution proton-transfer-reaction time-of-flight mass spectrometry. Atmospheric Chemistry and Physics, 15(2), 845-865.</w:t>
      </w:r>
    </w:p>
    <w:p w14:paraId="56D4DB4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Stohl, A., Aamaas, B., Amann,  M.,  Baker,  L.  H.,  Bellouin, N., Berntsen, T. K., Boucher, O., Cherian, R., Collins, W., Daskalakis, N., Dusinska, M., Eckhardt, S., Fuglestvedt, J. S., Harju, M., Heyes, C., Hodnebrog, Ø., Hao, J., Im, U., Kanakidou, M., Klimont, Z., Kupiainen, K., Law, K. S., Lund, M. T., Maas, R., MacIntosh, C. R., Myhre, G., Myriokefalitakis, S., Olivié, D., Quaas, J., Quennehen, B., Raut, J.-C., Rumbold, S.T., Samset, B. H., Schulz, M., Seland, Ø., Shine, K. P., Skeie, R. B., Wang, S., Yttri, K. E., and Zhu, T. (2015). Evaluating the climate and air quality impacts of short-lived pollutants, Atmos. Chem. Phys., 15, 10529–10566, https://doi.org/10.5194/acp-15-10529-2015.</w:t>
      </w:r>
    </w:p>
    <w:p w14:paraId="3EED486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Su, Y. C., Chen, W. H., Fan, C. L., Tong, Y. H., Weng, T. H., Chen, S. P., ... &amp; Chang, J. S. (2019). Source apportionment of volatile organic compounds (VOCs) by positive </w:t>
      </w:r>
      <w:r w:rsidRPr="00F26949">
        <w:rPr>
          <w:rFonts w:ascii="Times New Roman" w:hAnsi="Times New Roman" w:cs="Times New Roman"/>
          <w:sz w:val="24"/>
          <w:szCs w:val="24"/>
        </w:rPr>
        <w:lastRenderedPageBreak/>
        <w:t>matrix factorization (PMF) supported by model simulation and source markers-using petrochemical emissions as a showcase. Environmental pollution, 254, 112848.</w:t>
      </w:r>
    </w:p>
    <w:p w14:paraId="30004D53"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Sun, X., Wang, H., Guo, Z., Lu, P., Song, F., Liu, L., ... &amp; Wang, F. (2020). Positive matrix factorization on source apportionment for typical pollutants in different environmental media: a review. Environmental Science: Processes &amp; Impacts, 22(2), 239-255.</w:t>
      </w:r>
    </w:p>
    <w:p w14:paraId="16A326D2"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Tauler, R., Viana, M., Querol, X., Alastuey, A., Flight, R. M., Wentzell, P. D., &amp; Hopke, P. K. (2009). Comparison of the results obtained by four receptor modelling methods in aerosol source apportionment studies. Atmospheric Environment, 43(26), 3989-3997.</w:t>
      </w:r>
    </w:p>
    <w:p w14:paraId="0C150C93"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Thermofisher Scientific Instruction Manuals: For Carbon monoxide, Sulfur dioxide, Nitrogen oxides and Ozone Analysers</w:t>
      </w:r>
    </w:p>
    <w:p w14:paraId="1E90256B" w14:textId="77777777" w:rsidR="002D26AF"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Ukaogo, P. O., Ewuzie, U., &amp; Onwuka, C. V. (2020). Environmental pollution: causes, effects, and the remedies. In Microorganisms for sustainable environment and health (pp. 419-429). Elsevier.</w:t>
      </w:r>
    </w:p>
    <w:p w14:paraId="1D348F56" w14:textId="6ECFBC3D" w:rsidR="005B36D9" w:rsidRPr="00F26949" w:rsidRDefault="005B36D9" w:rsidP="002D26AF">
      <w:pPr>
        <w:spacing w:line="360" w:lineRule="auto"/>
        <w:jc w:val="both"/>
        <w:rPr>
          <w:rFonts w:ascii="Times New Roman" w:hAnsi="Times New Roman" w:cs="Times New Roman"/>
          <w:sz w:val="24"/>
          <w:szCs w:val="24"/>
          <w:shd w:val="clear" w:color="auto" w:fill="FFFFFF"/>
        </w:rPr>
      </w:pPr>
      <w:r w:rsidRPr="005B36D9">
        <w:rPr>
          <w:rFonts w:ascii="Times New Roman" w:hAnsi="Times New Roman" w:cs="Times New Roman"/>
          <w:sz w:val="24"/>
          <w:szCs w:val="24"/>
          <w:shd w:val="clear" w:color="auto" w:fill="FFFFFF"/>
        </w:rPr>
        <w:t>Viana, M., Kuhlbusch, T. A., Querol, X., Alastuey, A., Harrison, R. M., Hopke, P. K., ... &amp; Hitzenberger, R. (2008). Source apportionment of particulate matter in Europe: a review of methods and results. Journal of aerosol science, 39(10), 827-849.</w:t>
      </w:r>
    </w:p>
    <w:p w14:paraId="2D3CB8D8" w14:textId="1E3F23ED" w:rsidR="005B36D9"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Viana, M., Pandolfi, M., Minguillón, M. C., Querol, X., Alastuey, Monfort, E., &amp; Celades, I. (2008). Inter-comparison of receptor models for PM source apportionment: Case study in an industrial area. Atmospheric Environment, 42(16), 3820–3832. http://doi.org/10.1016/j.atmosenv.2007.12.056</w:t>
      </w:r>
    </w:p>
    <w:p w14:paraId="3E15DF53"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Vega, E., Mugica, V., Carmona, R., &amp; Valencia, E. (2000). Hydrocarbon source apportionment in Mexico City using the chemical mass balance receptor model. Atmospheric Environment, 34(24), 4121-4129.</w:t>
      </w:r>
    </w:p>
    <w:p w14:paraId="68253D54"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bookmarkStart w:id="94" w:name="_Hlk132893920"/>
      <w:r w:rsidRPr="00F26949">
        <w:rPr>
          <w:rFonts w:ascii="Times New Roman" w:hAnsi="Times New Roman" w:cs="Times New Roman"/>
          <w:sz w:val="24"/>
          <w:szCs w:val="24"/>
          <w:shd w:val="clear" w:color="auto" w:fill="FFFFFF"/>
        </w:rPr>
        <w:t>Vestenius</w:t>
      </w:r>
      <w:bookmarkEnd w:id="94"/>
      <w:r w:rsidRPr="00F26949">
        <w:rPr>
          <w:rFonts w:ascii="Times New Roman" w:hAnsi="Times New Roman" w:cs="Times New Roman"/>
          <w:sz w:val="24"/>
          <w:szCs w:val="24"/>
          <w:shd w:val="clear" w:color="auto" w:fill="FFFFFF"/>
        </w:rPr>
        <w:t>, M., Hopke, P. K., Lehtipalo, K., Petäjä, T., Hakola, H., &amp; Hellen, H. (2021). Assessing volatile organic compound sources in a boreal forest using positive matrix factorization (PMF). Atmospheric Environment, 259, 118503.</w:t>
      </w:r>
    </w:p>
    <w:p w14:paraId="77AEB8F9"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Wallace, J. M., &amp; Hobbs, P. V. (2006). Atmospheric science: An introductory survey. Amsterdam: Elsevier Academic Press.</w:t>
      </w:r>
    </w:p>
    <w:p w14:paraId="04FB1329"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Wang, S., Wei, W., Du,  L.,  Li,  G.,  and  Hao,  J. (2009).  Characteristics   of   gaseous    pollutants    from biofuel-stoves in rural China, Atmos. Environ., 43, 4148–4154, https://doi.org/10.1016/j.atmosenv.2009.05.040.</w:t>
      </w:r>
    </w:p>
    <w:p w14:paraId="2F1AB22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 xml:space="preserve">Wang, Z., Nicholls, S. J., Rodriguez, E. R., Kummu, O., Hörkkö, S., Barnard, J., Reynolds, W. F., Topol, E. J., DiDonato, J. A., and Hazen, S. L. (2007). Protein carbamylation links inflammation, smoking, uremia and atherogenesis, Nat. Med., 13, 1176–1184. </w:t>
      </w:r>
    </w:p>
    <w:p w14:paraId="2E3287F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Wang, X., Chen, L. W. A., Lu, M., Ho, K. F., Lee, S. C., Ho, S. S. H., ... &amp; Watson, J. G. (2022). Apportionment of vehicle fleet emissions by linear regression, positive matrix factorization, and emission modeling. Atmosphere, 13(7), 1066.</w:t>
      </w:r>
    </w:p>
    <w:p w14:paraId="639624B5"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Warneck, P., &amp; Williams, J. (2012). The atmospheric chemist's companion: Numerical data for use in the atmospheric sciences (pp. 69-125). New York, NY, USA:: Springer.</w:t>
      </w:r>
    </w:p>
    <w:p w14:paraId="120B0CC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Warneke, C., De Gouw, J. A., Kuster, W. C., Goldan, P. D., and Fall, R. (2003). Validation of atmospheric VOC measurements by proton transfer reaction mass spectrometry using a gas-chromatographic preseparation method, Environ. Sci. Technol., 37, 2494–2501,https://doi.org/10.1021/es026266i.</w:t>
      </w:r>
    </w:p>
    <w:p w14:paraId="4CF5B35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Warneke, C., Kato, S., de Gouw, J. A., Goldan, P. D., Kuster, W. C., Shao, M., Lovejoy, E. R., Fall, R., and Fehsenfeld, F. C. (2005). Online volatile organic compound measurements using a newly developed proton transfer ion trap mass spectrometry instrument during New England Air Quality Study Intercontinental Transport and Chemical Transformation 2004: Performance, intercomparison, and compound identification, Environ. Sci. Technol., 39, 5390–5397, https://doi.org/10.1021/es050602o.</w:t>
      </w:r>
    </w:p>
    <w:p w14:paraId="08ECE46D"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Warneke, C., Roberts, J. M., Veres, P., Gilman, J., Kuster, W. C., Burling, I., ... &amp; De Gouw, J. A. (2011). VOC identification and inter-comparison from laboratory biomass burning using PTR-MS and PIT-MS. International Journal of Mass Spectrometry, 303(1), 6-14.</w:t>
      </w:r>
    </w:p>
    <w:p w14:paraId="0303CD5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Watson, J. G. (1984). Overview of receptor model principles. Journal of the Air Pollution Control Association, 34(6), 619-623.</w:t>
      </w:r>
    </w:p>
    <w:p w14:paraId="43E94EBC"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lastRenderedPageBreak/>
        <w:t>Watson, J. G., Chow, J. C., &amp; Fujita, E. M. (2001). Review of volatile organic compound source apportionment by chemical mass balance. Atmospheric Environment, 35(9), 1567-1584.</w:t>
      </w:r>
    </w:p>
    <w:p w14:paraId="687E4AC1"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Watson, J. G., Antony Chen, L. W., Chow, J. C., Doraiswamy, P., &amp; Lowenthal, D. H. (2008). Source apportionment: findings from the US supersites program. Journal of the Air &amp; Waste Management Association, 58(2), 265-288.</w:t>
      </w:r>
    </w:p>
    <w:p w14:paraId="5006B165"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WEF (2018). These are the world's most polluted cities. World Economic Forum.</w:t>
      </w:r>
    </w:p>
    <w:p w14:paraId="2BD03D05"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Weijers, E. P., Schaap, M., Nguyen, L., Matthijsen, J., Denier Van Der Gon, H. A. C., Ten Brink, H. M., &amp; Hoogerbrugge, R. (2011). Anthropogenic and natural constituents in particulate matter in the Netherlands. Atmospheric Chemistry and Physics, 11(5), 2281-2294.</w:t>
      </w:r>
    </w:p>
    <w:p w14:paraId="6EC1ADAC"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WHO (2013). Review of evidence on health aspects of air pollution—REVIHAAP Project. Technical Report.</w:t>
      </w:r>
    </w:p>
    <w:p w14:paraId="17309CEB" w14:textId="77777777" w:rsidR="002D26AF" w:rsidRPr="00F26949" w:rsidRDefault="002D26AF" w:rsidP="002D26AF">
      <w:pPr>
        <w:spacing w:line="360" w:lineRule="auto"/>
        <w:jc w:val="both"/>
        <w:rPr>
          <w:rFonts w:ascii="Times New Roman" w:hAnsi="Times New Roman" w:cs="Times New Roman"/>
          <w:sz w:val="24"/>
          <w:szCs w:val="24"/>
          <w:shd w:val="clear" w:color="auto" w:fill="FFFFFF"/>
        </w:rPr>
      </w:pPr>
      <w:r w:rsidRPr="00F26949">
        <w:rPr>
          <w:rFonts w:ascii="Times New Roman" w:hAnsi="Times New Roman" w:cs="Times New Roman"/>
          <w:sz w:val="24"/>
          <w:szCs w:val="24"/>
          <w:shd w:val="clear" w:color="auto" w:fill="FFFFFF"/>
        </w:rPr>
        <w:t>WHO, C. (2014). 7 million premature deaths annually linked to air pollution. Air Quality &amp; Climate Change, 22(1), 53-59.</w:t>
      </w:r>
    </w:p>
    <w:p w14:paraId="3F00998B"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Wiedinmyer, C., Akagi, S. K., Yokelson, R. J., Emmons, L. K., Al- Saadi, J. A., Orlando, J. J., and Soja, A. J. (2011). The Fire INventory from NCAR (FINN): a high resolution global model to estimate the emissions from open burning, Geosci. Model Dev., 4, 625– 641, https://doi.org/10.5194/gmd-4-625-2011.</w:t>
      </w:r>
    </w:p>
    <w:p w14:paraId="150F4FDA"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Williams, J., Pöschl, U., Crutzen, P. J., Hansel, A., Holzinger, R., Warneke, C., ... &amp; Lelieveld, J. (2001). An atmospheric chemistry interpretation of mass scans obtained from a proton transfer mass spectrometer flown over the tropical rainforest of Surinam. Journal of Atmospheric Chemistry, 38, 133-166.</w:t>
      </w:r>
    </w:p>
    <w:p w14:paraId="46E8FAC1" w14:textId="77777777" w:rsidR="00A42A4E" w:rsidRPr="00A42A4E" w:rsidRDefault="00A42A4E" w:rsidP="00A42A4E">
      <w:pPr>
        <w:spacing w:line="360" w:lineRule="auto"/>
        <w:jc w:val="both"/>
        <w:rPr>
          <w:rFonts w:ascii="Times New Roman" w:hAnsi="Times New Roman" w:cs="Times New Roman"/>
          <w:sz w:val="24"/>
          <w:szCs w:val="24"/>
        </w:rPr>
      </w:pPr>
      <w:r w:rsidRPr="00A42A4E">
        <w:rPr>
          <w:rFonts w:ascii="Times New Roman" w:hAnsi="Times New Roman" w:cs="Times New Roman"/>
          <w:sz w:val="24"/>
          <w:szCs w:val="24"/>
        </w:rPr>
        <w:t>Wolf, M. J., Emerson, J. W., Esty, D. C., de Sherbinin, A., Wendling, Z. A., </w:t>
      </w:r>
      <w:r w:rsidRPr="00A42A4E">
        <w:rPr>
          <w:rFonts w:ascii="Times New Roman" w:hAnsi="Times New Roman" w:cs="Times New Roman"/>
          <w:iCs/>
          <w:sz w:val="24"/>
          <w:szCs w:val="24"/>
        </w:rPr>
        <w:t>et al.</w:t>
      </w:r>
      <w:r w:rsidRPr="00A42A4E">
        <w:rPr>
          <w:rFonts w:ascii="Times New Roman" w:hAnsi="Times New Roman" w:cs="Times New Roman"/>
          <w:sz w:val="24"/>
          <w:szCs w:val="24"/>
        </w:rPr>
        <w:t> (2022). </w:t>
      </w:r>
      <w:r w:rsidRPr="00A42A4E">
        <w:rPr>
          <w:rFonts w:ascii="Times New Roman" w:hAnsi="Times New Roman" w:cs="Times New Roman"/>
          <w:iCs/>
          <w:sz w:val="24"/>
          <w:szCs w:val="24"/>
        </w:rPr>
        <w:t>2022 Environmental Performance Index.</w:t>
      </w:r>
      <w:r w:rsidRPr="00A42A4E">
        <w:rPr>
          <w:rFonts w:ascii="Times New Roman" w:hAnsi="Times New Roman" w:cs="Times New Roman"/>
          <w:sz w:val="24"/>
          <w:szCs w:val="24"/>
        </w:rPr>
        <w:t> New Haven, CT: Yale Center for Environmental Law &amp; Policy. epi.yale.edu</w:t>
      </w:r>
    </w:p>
    <w:p w14:paraId="72E88DC2" w14:textId="77777777" w:rsidR="00A42A4E" w:rsidRPr="00A42A4E" w:rsidRDefault="00A42A4E" w:rsidP="00A42A4E">
      <w:pPr>
        <w:spacing w:line="360" w:lineRule="auto"/>
        <w:jc w:val="both"/>
        <w:rPr>
          <w:rFonts w:ascii="Times New Roman" w:hAnsi="Times New Roman" w:cs="Times New Roman"/>
          <w:sz w:val="24"/>
          <w:szCs w:val="24"/>
        </w:rPr>
      </w:pPr>
      <w:r w:rsidRPr="00A42A4E">
        <w:rPr>
          <w:rFonts w:ascii="Times New Roman" w:hAnsi="Times New Roman" w:cs="Times New Roman"/>
          <w:sz w:val="24"/>
          <w:szCs w:val="24"/>
        </w:rPr>
        <w:t>Wu, C. F., Larson, T. V., Wu, S. Y., Williamson, J., Westberg, H. H., &amp; Liu, L. J. S. (2007). Source apportionment of PM2. 5 and selected hazardous air pollutants in Seattle. </w:t>
      </w:r>
      <w:r w:rsidRPr="00A42A4E">
        <w:rPr>
          <w:rFonts w:ascii="Times New Roman" w:hAnsi="Times New Roman" w:cs="Times New Roman"/>
          <w:iCs/>
          <w:sz w:val="24"/>
          <w:szCs w:val="24"/>
        </w:rPr>
        <w:t>Science of the total environment</w:t>
      </w:r>
      <w:r w:rsidRPr="00A42A4E">
        <w:rPr>
          <w:rFonts w:ascii="Times New Roman" w:hAnsi="Times New Roman" w:cs="Times New Roman"/>
          <w:sz w:val="24"/>
          <w:szCs w:val="24"/>
        </w:rPr>
        <w:t>, </w:t>
      </w:r>
      <w:r w:rsidRPr="00A42A4E">
        <w:rPr>
          <w:rFonts w:ascii="Times New Roman" w:hAnsi="Times New Roman" w:cs="Times New Roman"/>
          <w:iCs/>
          <w:sz w:val="24"/>
          <w:szCs w:val="24"/>
        </w:rPr>
        <w:t>386</w:t>
      </w:r>
      <w:r w:rsidRPr="00A42A4E">
        <w:rPr>
          <w:rFonts w:ascii="Times New Roman" w:hAnsi="Times New Roman" w:cs="Times New Roman"/>
          <w:sz w:val="24"/>
          <w:szCs w:val="24"/>
        </w:rPr>
        <w:t>(1-3), 42-52.</w:t>
      </w:r>
    </w:p>
    <w:p w14:paraId="7FCBB3AC" w14:textId="5076E6E4" w:rsidR="00A42A4E" w:rsidRPr="00F26949" w:rsidRDefault="00A42A4E" w:rsidP="002D26AF">
      <w:pPr>
        <w:spacing w:line="360" w:lineRule="auto"/>
        <w:jc w:val="both"/>
        <w:rPr>
          <w:rFonts w:ascii="Times New Roman" w:hAnsi="Times New Roman" w:cs="Times New Roman"/>
          <w:sz w:val="24"/>
          <w:szCs w:val="24"/>
        </w:rPr>
      </w:pPr>
      <w:r w:rsidRPr="00A42A4E">
        <w:rPr>
          <w:rFonts w:ascii="Times New Roman" w:hAnsi="Times New Roman" w:cs="Times New Roman"/>
          <w:sz w:val="24"/>
          <w:szCs w:val="24"/>
        </w:rPr>
        <w:lastRenderedPageBreak/>
        <w:t>Wu, J., Wu, Z., &amp; Holländer, R. (2012). The application of Positive Matrix Factorization (PMF) to eco-efficiency analysis. </w:t>
      </w:r>
      <w:r w:rsidRPr="00A42A4E">
        <w:rPr>
          <w:rFonts w:ascii="Times New Roman" w:hAnsi="Times New Roman" w:cs="Times New Roman"/>
          <w:iCs/>
          <w:sz w:val="24"/>
          <w:szCs w:val="24"/>
        </w:rPr>
        <w:t>Journal of environmental management</w:t>
      </w:r>
      <w:r w:rsidRPr="00A42A4E">
        <w:rPr>
          <w:rFonts w:ascii="Times New Roman" w:hAnsi="Times New Roman" w:cs="Times New Roman"/>
          <w:sz w:val="24"/>
          <w:szCs w:val="24"/>
        </w:rPr>
        <w:t>, </w:t>
      </w:r>
      <w:r w:rsidRPr="00A42A4E">
        <w:rPr>
          <w:rFonts w:ascii="Times New Roman" w:hAnsi="Times New Roman" w:cs="Times New Roman"/>
          <w:iCs/>
          <w:sz w:val="24"/>
          <w:szCs w:val="24"/>
        </w:rPr>
        <w:t>98</w:t>
      </w:r>
      <w:r w:rsidRPr="00A42A4E">
        <w:rPr>
          <w:rFonts w:ascii="Times New Roman" w:hAnsi="Times New Roman" w:cs="Times New Roman"/>
          <w:sz w:val="24"/>
          <w:szCs w:val="24"/>
        </w:rPr>
        <w:t>, 11-14.</w:t>
      </w:r>
    </w:p>
    <w:p w14:paraId="0777165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Wu, Y., Liu, J., Zhai, J., Cong, L., Wang, Y., Ma, W., ... &amp; Li, C. (2018). Comparison of dry and wet deposition of particulate matter in near-surface waters during summer. PloS one, 13(6), e0199241.</w:t>
      </w:r>
    </w:p>
    <w:p w14:paraId="7E9FFD22"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Wu, J., Wu, Z., &amp; Holländer, R. (2012). The application of Positive Matrix Factorization (PMF) to eco-efficiency analysis. Journal of environmental management, 98, 11-14.</w:t>
      </w:r>
    </w:p>
    <w:p w14:paraId="5ABF0E24"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Xie,  Y.  and  Berkowitz,  C.   M. (2006).   The   use   of   positive   matrix factorization with conditional  probability  functions  in air quality studies: an application to hydrocarbon emissions in Houston, Texas, Atmos. Environ., 40, 3070–3091, https://doi.org/10.1016/j.atmosenv.2005.12.065</w:t>
      </w:r>
    </w:p>
    <w:p w14:paraId="092A0B66" w14:textId="3809C992" w:rsidR="006A7035" w:rsidRPr="00F26949" w:rsidRDefault="006A7035" w:rsidP="002D26AF">
      <w:pPr>
        <w:spacing w:line="360" w:lineRule="auto"/>
        <w:jc w:val="both"/>
        <w:rPr>
          <w:rFonts w:ascii="Times New Roman" w:hAnsi="Times New Roman" w:cs="Times New Roman"/>
          <w:sz w:val="24"/>
          <w:szCs w:val="24"/>
        </w:rPr>
      </w:pPr>
      <w:r w:rsidRPr="006A7035">
        <w:rPr>
          <w:rFonts w:ascii="Times New Roman" w:hAnsi="Times New Roman" w:cs="Times New Roman"/>
          <w:sz w:val="24"/>
          <w:szCs w:val="24"/>
        </w:rPr>
        <w:t>Xia, W., Wang, Y., Chen, S., Huang, J., Wang, B., Zhang, G. J., ... &amp; Zhang, T. (2021). Double trouble of air pollution by anthropogenic dust. </w:t>
      </w:r>
      <w:r w:rsidRPr="006A7035">
        <w:rPr>
          <w:rFonts w:ascii="Times New Roman" w:hAnsi="Times New Roman" w:cs="Times New Roman"/>
          <w:iCs/>
          <w:sz w:val="24"/>
          <w:szCs w:val="24"/>
        </w:rPr>
        <w:t>Environmental Science &amp; Technology</w:t>
      </w:r>
      <w:r w:rsidRPr="006A7035">
        <w:rPr>
          <w:rFonts w:ascii="Times New Roman" w:hAnsi="Times New Roman" w:cs="Times New Roman"/>
          <w:sz w:val="24"/>
          <w:szCs w:val="24"/>
        </w:rPr>
        <w:t>, </w:t>
      </w:r>
      <w:r w:rsidRPr="006A7035">
        <w:rPr>
          <w:rFonts w:ascii="Times New Roman" w:hAnsi="Times New Roman" w:cs="Times New Roman"/>
          <w:iCs/>
          <w:sz w:val="24"/>
          <w:szCs w:val="24"/>
        </w:rPr>
        <w:t>56</w:t>
      </w:r>
      <w:r w:rsidRPr="006A7035">
        <w:rPr>
          <w:rFonts w:ascii="Times New Roman" w:hAnsi="Times New Roman" w:cs="Times New Roman"/>
          <w:sz w:val="24"/>
          <w:szCs w:val="24"/>
        </w:rPr>
        <w:t>(2), 761-769.</w:t>
      </w:r>
    </w:p>
    <w:p w14:paraId="6E8E609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Xu, J., Griffin, R. J., Liu, Y., Nakao, S., and Cocker III, D. R. (2015). Simulated impact of NOx on SOA  formation  from  oxidation of toluene and m-xylene, Atmos. Environ., 101, 217e225, https://doi.org/10.1016/j.atmosenv.2014.11.008</w:t>
      </w:r>
    </w:p>
    <w:p w14:paraId="671CF8DE"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Yadav, S., Tripathi, S. N., &amp; Rupakheti, M. (2022). Current status of source apportionment of ambient aerosols in India. Atmospheric Environment, 118987.</w:t>
      </w:r>
    </w:p>
    <w:p w14:paraId="5D843F7A"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Yang, G., Wang, Y., Zeng, Y., Gao, G. F., Liang, X., Zhou, M., ... &amp; Murray, C. J. (2013). Rapid health transition in China, 1990–2010: findings from the Global Burden of Disease Study 2010. The lancet, 381(9882), 1987-2015.</w:t>
      </w:r>
    </w:p>
    <w:p w14:paraId="35841B9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Yin, J., Cumberland, S. A., Harrison, R. M., Allan, J., Young, D. E., Williams, P. I., &amp; Coe, H. (2015). Receptor modelling of fine particles in southern England using CMB including comparison with AMS-PMF factors. Atmospheric Chemistry and Physics, 15(4), 2139-2158.</w:t>
      </w:r>
    </w:p>
    <w:p w14:paraId="282240E6"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Yokelson, R. J., Burling, I. R., Gilman, J. B., Warneke, C., Stockwell, C. E., De Gouw, J., ... &amp; Weise, D. R. (2013). Coupling field and laboratory measurements to estimate the emission factors of identified and unidentified trace gases for prescribed fires. Atmospheric Chemistry and Physics, 13(1), 89-116.</w:t>
      </w:r>
    </w:p>
    <w:p w14:paraId="45208C60"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lastRenderedPageBreak/>
        <w:t>Yuan, B., Shao, M., De Gouw, J., Parrish, D. D., Lu, S., Wang, M., ... &amp; Hu, M. (2012). Volatile organic compounds (VOCs) in urban air: How chemistry affects the interpretation of positive matrix factorization (PMF) analysis. Journal of Geophysical Research: Atmospheres, 117(D24).</w:t>
      </w:r>
    </w:p>
    <w:p w14:paraId="0CB60A08"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Yuan, B., Koss, A. R., Warneke, C., Coggon, M., Sekimoto, K., &amp; de Gouw, J. A. (2017). Proton-transfer-reaction mass spectrometry: applications in atmospheric sciences. Chemical reviews, 117(21), 13187-13229.</w:t>
      </w:r>
    </w:p>
    <w:p w14:paraId="3EAB8F80"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Zannetti, P. (1990). Dry and Wet Deposition. In: Air Pollution Modeling. Springer, Boston, MA. https://doi.org/10.1007/978-1-4757-4465-1_10</w:t>
      </w:r>
    </w:p>
    <w:p w14:paraId="33C19826" w14:textId="0609D90A" w:rsidR="00687F67" w:rsidRPr="00F26949" w:rsidRDefault="00687F67" w:rsidP="002D26AF">
      <w:pPr>
        <w:spacing w:line="360" w:lineRule="auto"/>
        <w:jc w:val="both"/>
        <w:rPr>
          <w:rFonts w:ascii="Times New Roman" w:hAnsi="Times New Roman" w:cs="Times New Roman"/>
          <w:sz w:val="24"/>
          <w:szCs w:val="24"/>
        </w:rPr>
      </w:pPr>
      <w:r w:rsidRPr="00687F67">
        <w:rPr>
          <w:rFonts w:ascii="Times New Roman" w:hAnsi="Times New Roman" w:cs="Times New Roman"/>
          <w:sz w:val="24"/>
          <w:szCs w:val="24"/>
        </w:rPr>
        <w:t>Zalel, A., &amp; Broday, D. M. (2008). Revealing source signatures in ambient BTEX concentrations. </w:t>
      </w:r>
      <w:r w:rsidRPr="00687F67">
        <w:rPr>
          <w:rFonts w:ascii="Times New Roman" w:hAnsi="Times New Roman" w:cs="Times New Roman"/>
          <w:iCs/>
          <w:sz w:val="24"/>
          <w:szCs w:val="24"/>
        </w:rPr>
        <w:t>Environmental pollution</w:t>
      </w:r>
      <w:r w:rsidRPr="00687F67">
        <w:rPr>
          <w:rFonts w:ascii="Times New Roman" w:hAnsi="Times New Roman" w:cs="Times New Roman"/>
          <w:sz w:val="24"/>
          <w:szCs w:val="24"/>
        </w:rPr>
        <w:t>, </w:t>
      </w:r>
      <w:r w:rsidRPr="00687F67">
        <w:rPr>
          <w:rFonts w:ascii="Times New Roman" w:hAnsi="Times New Roman" w:cs="Times New Roman"/>
          <w:iCs/>
          <w:sz w:val="24"/>
          <w:szCs w:val="24"/>
        </w:rPr>
        <w:t>156</w:t>
      </w:r>
      <w:r w:rsidRPr="00687F67">
        <w:rPr>
          <w:rFonts w:ascii="Times New Roman" w:hAnsi="Times New Roman" w:cs="Times New Roman"/>
          <w:sz w:val="24"/>
          <w:szCs w:val="24"/>
        </w:rPr>
        <w:t>(2), 553-562.</w:t>
      </w:r>
    </w:p>
    <w:p w14:paraId="56ACFCFD" w14:textId="77777777" w:rsidR="002D26AF" w:rsidRPr="00F26949" w:rsidRDefault="002D26AF" w:rsidP="002D26AF">
      <w:pPr>
        <w:spacing w:line="360" w:lineRule="auto"/>
        <w:jc w:val="both"/>
        <w:rPr>
          <w:rFonts w:ascii="Times New Roman" w:hAnsi="Times New Roman" w:cs="Times New Roman"/>
          <w:sz w:val="24"/>
          <w:szCs w:val="24"/>
        </w:rPr>
      </w:pPr>
      <w:bookmarkStart w:id="95" w:name="_Hlk132674790"/>
      <w:r w:rsidRPr="00F26949">
        <w:rPr>
          <w:rFonts w:ascii="Times New Roman" w:hAnsi="Times New Roman" w:cs="Times New Roman"/>
          <w:sz w:val="24"/>
          <w:szCs w:val="24"/>
        </w:rPr>
        <w:t xml:space="preserve">Zhang, </w:t>
      </w:r>
      <w:bookmarkEnd w:id="95"/>
      <w:r w:rsidRPr="00F26949">
        <w:rPr>
          <w:rFonts w:ascii="Times New Roman" w:hAnsi="Times New Roman" w:cs="Times New Roman"/>
          <w:sz w:val="24"/>
          <w:szCs w:val="24"/>
        </w:rPr>
        <w:t>L., Yang, Y., Li, Y., Qian, Z. M., Xiao, W., Wang, X., ... &amp; Lin, H. (2019). Short-term and long-term effects of PM2. 5 on acute nasopharyngitis in 10 communities of Guangdong, China. Science of the Total Environment, 688, 136-142.</w:t>
      </w:r>
    </w:p>
    <w:p w14:paraId="4572476F"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Zhong, M., Saikawa, E., Avramov, A., Chen, C., Sun, B., Ye, W., Keene, W. C., Yokelson, R. J., Jayarathne, T., Stone, E. A., Rupakheti, M., and Panday, A. K. (2019). Nepal Ambient Monitoring and Source Testing Experiment (NAMaSTE): emissions of particulate matter and sulfur dioxide from vehicles and brick kilns and their impacts on air quality in the Kathmandu Valley, Nepal, Atmos. Chem. Phys., 19, 8209–8228, https://doi.org/10.5194/acp- 19-8209-2019</w:t>
      </w:r>
    </w:p>
    <w:p w14:paraId="4C2B38C7" w14:textId="77777777" w:rsidR="002D26AF" w:rsidRPr="00F26949"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Zhou, X., Zhou, X., Wang, C., &amp; Zhou, H. (2022). Environmental and human health impacts of volatile organic compounds: A perspective review. Chemosphere, 137489.</w:t>
      </w:r>
    </w:p>
    <w:p w14:paraId="312E00C3" w14:textId="77777777" w:rsidR="002D26AF" w:rsidRDefault="002D26AF" w:rsidP="002D26AF">
      <w:pPr>
        <w:spacing w:line="360" w:lineRule="auto"/>
        <w:jc w:val="both"/>
        <w:rPr>
          <w:rFonts w:ascii="Times New Roman" w:hAnsi="Times New Roman" w:cs="Times New Roman"/>
          <w:sz w:val="24"/>
          <w:szCs w:val="24"/>
        </w:rPr>
      </w:pPr>
      <w:r w:rsidRPr="00F26949">
        <w:rPr>
          <w:rFonts w:ascii="Times New Roman" w:hAnsi="Times New Roman" w:cs="Times New Roman"/>
          <w:sz w:val="24"/>
          <w:szCs w:val="24"/>
        </w:rPr>
        <w:t>Zhu, L., Liu, J., Cong, L., Ma, W., Ma, W., &amp; Zhang, Z. (2016). Spatiotemporal characteristics of particulate matter and dry deposition flux in the Cuihu wetland of Beijing. PloS one, 11(7), e0158616.</w:t>
      </w:r>
    </w:p>
    <w:p w14:paraId="686B897A" w14:textId="77777777" w:rsidR="001609F7" w:rsidRPr="00687F67" w:rsidRDefault="001609F7" w:rsidP="001609F7">
      <w:pPr>
        <w:spacing w:line="360" w:lineRule="auto"/>
        <w:jc w:val="both"/>
        <w:rPr>
          <w:rFonts w:ascii="Times New Roman" w:hAnsi="Times New Roman" w:cs="Times New Roman"/>
          <w:sz w:val="24"/>
          <w:szCs w:val="24"/>
        </w:rPr>
      </w:pPr>
      <w:r w:rsidRPr="00687F67">
        <w:rPr>
          <w:rFonts w:ascii="Times New Roman" w:hAnsi="Times New Roman" w:cs="Times New Roman"/>
          <w:sz w:val="24"/>
          <w:szCs w:val="24"/>
        </w:rPr>
        <w:t>Zhu, Y., Huang, L., Li, J., Ying, Q., Zhang, H., Liu, X., ... &amp; Hu, J. (2018). Sources of particulate matter in China: Insights from source apportionment studies published in 1987–2017. </w:t>
      </w:r>
      <w:r w:rsidRPr="00687F67">
        <w:rPr>
          <w:rFonts w:ascii="Times New Roman" w:hAnsi="Times New Roman" w:cs="Times New Roman"/>
          <w:iCs/>
          <w:sz w:val="24"/>
          <w:szCs w:val="24"/>
        </w:rPr>
        <w:t>Environment international</w:t>
      </w:r>
      <w:r w:rsidRPr="00687F67">
        <w:rPr>
          <w:rFonts w:ascii="Times New Roman" w:hAnsi="Times New Roman" w:cs="Times New Roman"/>
          <w:sz w:val="24"/>
          <w:szCs w:val="24"/>
        </w:rPr>
        <w:t>, </w:t>
      </w:r>
      <w:r w:rsidRPr="00687F67">
        <w:rPr>
          <w:rFonts w:ascii="Times New Roman" w:hAnsi="Times New Roman" w:cs="Times New Roman"/>
          <w:iCs/>
          <w:sz w:val="24"/>
          <w:szCs w:val="24"/>
        </w:rPr>
        <w:t>115</w:t>
      </w:r>
      <w:r w:rsidRPr="00687F67">
        <w:rPr>
          <w:rFonts w:ascii="Times New Roman" w:hAnsi="Times New Roman" w:cs="Times New Roman"/>
          <w:sz w:val="24"/>
          <w:szCs w:val="24"/>
        </w:rPr>
        <w:t>, 343-357.</w:t>
      </w:r>
    </w:p>
    <w:p w14:paraId="7DCACEC6" w14:textId="77777777" w:rsidR="001609F7" w:rsidRPr="00F26949" w:rsidRDefault="001609F7" w:rsidP="002D26AF">
      <w:pPr>
        <w:spacing w:line="360" w:lineRule="auto"/>
        <w:jc w:val="both"/>
        <w:rPr>
          <w:rFonts w:ascii="Times New Roman" w:hAnsi="Times New Roman" w:cs="Times New Roman"/>
          <w:sz w:val="24"/>
          <w:szCs w:val="24"/>
        </w:rPr>
      </w:pPr>
    </w:p>
    <w:p w14:paraId="6DBFC363" w14:textId="77777777" w:rsidR="002D26AF" w:rsidRPr="00F26949" w:rsidRDefault="002D26AF" w:rsidP="008B7C9C">
      <w:pPr>
        <w:spacing w:line="360" w:lineRule="auto"/>
        <w:jc w:val="both"/>
        <w:rPr>
          <w:rFonts w:ascii="Times New Roman" w:hAnsi="Times New Roman" w:cs="Times New Roman"/>
          <w:sz w:val="24"/>
          <w:szCs w:val="24"/>
        </w:rPr>
      </w:pPr>
    </w:p>
    <w:sectPr w:rsidR="002D26AF" w:rsidRPr="00F26949" w:rsidSect="00604508">
      <w:footerReference w:type="default" r:id="rId44"/>
      <w:pgSz w:w="11906" w:h="16838"/>
      <w:pgMar w:top="1440" w:right="1440" w:bottom="1440" w:left="2007"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D65C4F" w16cex:dateUtc="2023-10-15T07:10:00Z"/>
  <w16cex:commentExtensible w16cex:durableId="28D66193" w16cex:dateUtc="2023-10-15T07: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CA1DF5" w16cid:durableId="28D65C4F"/>
  <w16cid:commentId w16cid:paraId="4A715C59" w16cid:durableId="28D66193"/>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527F1" w14:textId="77777777" w:rsidR="007214ED" w:rsidRDefault="007214ED" w:rsidP="00BA6401">
      <w:pPr>
        <w:spacing w:after="0" w:line="240" w:lineRule="auto"/>
      </w:pPr>
      <w:r>
        <w:separator/>
      </w:r>
    </w:p>
  </w:endnote>
  <w:endnote w:type="continuationSeparator" w:id="0">
    <w:p w14:paraId="6BA61331" w14:textId="77777777" w:rsidR="007214ED" w:rsidRDefault="007214ED" w:rsidP="00BA6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76891" w14:textId="6317E69F" w:rsidR="00E00912" w:rsidRDefault="00E00912">
    <w:pPr>
      <w:pStyle w:val="Footer"/>
      <w:jc w:val="right"/>
    </w:pPr>
  </w:p>
  <w:p w14:paraId="6D8322D5" w14:textId="77777777" w:rsidR="00E00912" w:rsidRDefault="00E0091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1718234"/>
      <w:docPartObj>
        <w:docPartGallery w:val="Page Numbers (Bottom of Page)"/>
        <w:docPartUnique/>
      </w:docPartObj>
    </w:sdtPr>
    <w:sdtEndPr>
      <w:rPr>
        <w:noProof/>
      </w:rPr>
    </w:sdtEndPr>
    <w:sdtContent>
      <w:p w14:paraId="6E46CBE0" w14:textId="0F9EC40F" w:rsidR="00E00912" w:rsidRDefault="00E00912">
        <w:pPr>
          <w:pStyle w:val="Footer"/>
          <w:jc w:val="center"/>
        </w:pPr>
        <w:r>
          <w:fldChar w:fldCharType="begin"/>
        </w:r>
        <w:r>
          <w:instrText xml:space="preserve"> PAGE   \* MERGEFORMAT </w:instrText>
        </w:r>
        <w:r>
          <w:fldChar w:fldCharType="separate"/>
        </w:r>
        <w:r w:rsidR="0036384D">
          <w:rPr>
            <w:noProof/>
          </w:rPr>
          <w:t>20</w:t>
        </w:r>
        <w:r>
          <w:rPr>
            <w:noProof/>
          </w:rPr>
          <w:fldChar w:fldCharType="end"/>
        </w:r>
      </w:p>
    </w:sdtContent>
  </w:sdt>
  <w:p w14:paraId="437771C4" w14:textId="77777777" w:rsidR="00E00912" w:rsidRDefault="00E0091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6BC52" w14:textId="77777777" w:rsidR="007214ED" w:rsidRDefault="007214ED" w:rsidP="00BA6401">
      <w:pPr>
        <w:spacing w:after="0" w:line="240" w:lineRule="auto"/>
      </w:pPr>
      <w:r>
        <w:separator/>
      </w:r>
    </w:p>
  </w:footnote>
  <w:footnote w:type="continuationSeparator" w:id="0">
    <w:p w14:paraId="0127F43D" w14:textId="77777777" w:rsidR="007214ED" w:rsidRDefault="007214ED" w:rsidP="00BA6401">
      <w:pPr>
        <w:spacing w:after="0" w:line="240" w:lineRule="auto"/>
      </w:pPr>
      <w:r>
        <w:continuationSeparator/>
      </w:r>
    </w:p>
  </w:footnote>
  <w:footnote w:id="1">
    <w:p w14:paraId="0111D0E2" w14:textId="6FB227DE" w:rsidR="00E00912" w:rsidRDefault="00E00912" w:rsidP="00FE4F3B">
      <w:pPr>
        <w:pStyle w:val="FootnoteText"/>
      </w:pPr>
      <w:r>
        <w:rPr>
          <w:rStyle w:val="FootnoteReference"/>
        </w:rPr>
        <w:footnoteRef/>
      </w:r>
      <w:r>
        <w:t xml:space="preserve"> </w:t>
      </w:r>
      <w:r w:rsidRPr="00FE4F3B">
        <w:rPr>
          <w:rFonts w:ascii="Times New Roman" w:hAnsi="Times New Roman" w:cs="Times New Roman"/>
        </w:rPr>
        <w:t>The contents of this chapter have been</w:t>
      </w:r>
      <w:r>
        <w:rPr>
          <w:rFonts w:ascii="Times New Roman" w:hAnsi="Times New Roman" w:cs="Times New Roman"/>
        </w:rPr>
        <w:t xml:space="preserve"> </w:t>
      </w:r>
      <w:r w:rsidRPr="00FE4F3B">
        <w:rPr>
          <w:rFonts w:ascii="Times New Roman" w:hAnsi="Times New Roman" w:cs="Times New Roman"/>
        </w:rPr>
        <w:t>published in the international peer reviewed journal as (Pallavi et al., 2019),</w:t>
      </w:r>
      <w:r>
        <w:rPr>
          <w:rFonts w:ascii="Times New Roman" w:hAnsi="Times New Roman" w:cs="Times New Roman"/>
        </w:rPr>
        <w:t xml:space="preserve"> </w:t>
      </w:r>
      <w:r w:rsidRPr="00FE4F3B">
        <w:rPr>
          <w:rFonts w:ascii="Times New Roman" w:hAnsi="Times New Roman" w:cs="Times New Roman"/>
        </w:rPr>
        <w:t>with B. Sinha, and V</w:t>
      </w:r>
      <w:r>
        <w:rPr>
          <w:rFonts w:ascii="Times New Roman" w:hAnsi="Times New Roman" w:cs="Times New Roman"/>
        </w:rPr>
        <w:t xml:space="preserve">. </w:t>
      </w:r>
      <w:r w:rsidRPr="00FE4F3B">
        <w:rPr>
          <w:rFonts w:ascii="Times New Roman" w:hAnsi="Times New Roman" w:cs="Times New Roman"/>
        </w:rPr>
        <w:t>Sinha as co-authors. I wrote the draft</w:t>
      </w:r>
      <w:r>
        <w:rPr>
          <w:rFonts w:ascii="Times New Roman" w:hAnsi="Times New Roman" w:cs="Times New Roman"/>
        </w:rPr>
        <w:t xml:space="preserve"> </w:t>
      </w:r>
      <w:r w:rsidRPr="00FE4F3B">
        <w:rPr>
          <w:rFonts w:ascii="Times New Roman" w:hAnsi="Times New Roman" w:cs="Times New Roman"/>
        </w:rPr>
        <w:t>of the manuscript. All model runs, statistical analysis figures and</w:t>
      </w:r>
      <w:r>
        <w:rPr>
          <w:rFonts w:ascii="Times New Roman" w:hAnsi="Times New Roman" w:cs="Times New Roman"/>
        </w:rPr>
        <w:t xml:space="preserve"> </w:t>
      </w:r>
      <w:r w:rsidRPr="00FE4F3B">
        <w:rPr>
          <w:rFonts w:ascii="Times New Roman" w:hAnsi="Times New Roman" w:cs="Times New Roman"/>
        </w:rPr>
        <w:t>tables presented in the manuscript and used in this thesis are mine. Dr. V. Sinha provided the measurement</w:t>
      </w:r>
      <w:r>
        <w:rPr>
          <w:rFonts w:ascii="Times New Roman" w:hAnsi="Times New Roman" w:cs="Times New Roman"/>
        </w:rPr>
        <w:t xml:space="preserve"> </w:t>
      </w:r>
      <w:r w:rsidRPr="00FE4F3B">
        <w:rPr>
          <w:rFonts w:ascii="Times New Roman" w:hAnsi="Times New Roman" w:cs="Times New Roman"/>
        </w:rPr>
        <w:t>data and Dr. B. and V. Sinha provided overall guidance and commented on the draft.</w:t>
      </w:r>
    </w:p>
  </w:footnote>
  <w:footnote w:id="2">
    <w:p w14:paraId="7A78E20E" w14:textId="77777777" w:rsidR="00E00912" w:rsidRPr="00EA3EA3" w:rsidRDefault="00E00912" w:rsidP="00BA6401">
      <w:pPr>
        <w:pStyle w:val="FootnoteText"/>
        <w:rPr>
          <w:rFonts w:ascii="Times New Roman" w:hAnsi="Times New Roman" w:cs="Times New Roman"/>
        </w:rPr>
      </w:pPr>
      <w:r w:rsidRPr="00EA3EA3">
        <w:rPr>
          <w:rStyle w:val="FootnoteReference"/>
          <w:rFonts w:ascii="Times New Roman" w:hAnsi="Times New Roman" w:cs="Times New Roman"/>
        </w:rPr>
        <w:footnoteRef/>
      </w:r>
      <w:r w:rsidRPr="00EA3EA3">
        <w:rPr>
          <w:rFonts w:ascii="Times New Roman" w:hAnsi="Times New Roman" w:cs="Times New Roman"/>
        </w:rPr>
        <w:t xml:space="preserve"> </w:t>
      </w:r>
      <w:r>
        <w:rPr>
          <w:rFonts w:ascii="Times New Roman" w:hAnsi="Times New Roman" w:cs="Times New Roman"/>
        </w:rPr>
        <w:t>Correction applied to the input concentration data for propene being the</w:t>
      </w:r>
      <w:r w:rsidRPr="00EA3EA3">
        <w:rPr>
          <w:rFonts w:ascii="Times New Roman" w:hAnsi="Times New Roman" w:cs="Times New Roman"/>
        </w:rPr>
        <w:t xml:space="preserve"> potential fragment of acetic acid with ~68% contribution.</w:t>
      </w:r>
    </w:p>
  </w:footnote>
  <w:footnote w:id="3">
    <w:p w14:paraId="452C4A13" w14:textId="7601F4C9" w:rsidR="00E00912" w:rsidRPr="00754AFD" w:rsidRDefault="00E00912" w:rsidP="00754AFD">
      <w:pPr>
        <w:pStyle w:val="FootnoteText"/>
      </w:pPr>
      <w:r>
        <w:rPr>
          <w:rStyle w:val="FootnoteReference"/>
        </w:rPr>
        <w:footnoteRef/>
      </w:r>
      <w:r>
        <w:t xml:space="preserve"> </w:t>
      </w:r>
      <w:r w:rsidRPr="00754AFD">
        <w:rPr>
          <w:rFonts w:ascii="Times New Roman" w:hAnsi="Times New Roman" w:cs="Times New Roman"/>
        </w:rPr>
        <w:t>The contents of this chapter have been</w:t>
      </w:r>
      <w:r>
        <w:rPr>
          <w:rFonts w:ascii="Times New Roman" w:hAnsi="Times New Roman" w:cs="Times New Roman"/>
        </w:rPr>
        <w:t xml:space="preserve"> </w:t>
      </w:r>
      <w:r w:rsidRPr="00754AFD">
        <w:rPr>
          <w:rFonts w:ascii="Times New Roman" w:hAnsi="Times New Roman" w:cs="Times New Roman"/>
        </w:rPr>
        <w:t>published in the international peer reviewed journal as (Pall</w:t>
      </w:r>
      <w:r>
        <w:rPr>
          <w:rFonts w:ascii="Times New Roman" w:hAnsi="Times New Roman" w:cs="Times New Roman"/>
        </w:rPr>
        <w:t>avi</w:t>
      </w:r>
      <w:r w:rsidRPr="00754AFD">
        <w:rPr>
          <w:rFonts w:ascii="Times New Roman" w:hAnsi="Times New Roman" w:cs="Times New Roman"/>
        </w:rPr>
        <w:t>, 20</w:t>
      </w:r>
      <w:r>
        <w:rPr>
          <w:rFonts w:ascii="Times New Roman" w:hAnsi="Times New Roman" w:cs="Times New Roman"/>
        </w:rPr>
        <w:t>23</w:t>
      </w:r>
      <w:r w:rsidRPr="00754AFD">
        <w:rPr>
          <w:rFonts w:ascii="Times New Roman" w:hAnsi="Times New Roman" w:cs="Times New Roman"/>
        </w:rPr>
        <w:t xml:space="preserve">). </w:t>
      </w:r>
      <w:r w:rsidRPr="000A4543">
        <w:rPr>
          <w:rFonts w:ascii="Times New Roman" w:hAnsi="Times New Roman" w:cs="Times New Roman"/>
        </w:rPr>
        <w:t>I wrote the draft of the manuscript, conducted all model runs, performed the statistical analysis, and created the figures and tables</w:t>
      </w:r>
      <w:r>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50D90"/>
    <w:multiLevelType w:val="hybridMultilevel"/>
    <w:tmpl w:val="E8E412C8"/>
    <w:lvl w:ilvl="0" w:tplc="5BE2759A">
      <w:start w:val="4"/>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24538F9"/>
    <w:multiLevelType w:val="hybridMultilevel"/>
    <w:tmpl w:val="DD6AEB3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 w15:restartNumberingAfterBreak="0">
    <w:nsid w:val="08AE2597"/>
    <w:multiLevelType w:val="multilevel"/>
    <w:tmpl w:val="2416BC3E"/>
    <w:lvl w:ilvl="0">
      <w:start w:val="1"/>
      <w:numFmt w:val="decimal"/>
      <w:lvlText w:val="%1"/>
      <w:lvlJc w:val="left"/>
      <w:pPr>
        <w:ind w:left="580" w:hanging="58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4AF2B5C"/>
    <w:multiLevelType w:val="hybridMultilevel"/>
    <w:tmpl w:val="335E190E"/>
    <w:lvl w:ilvl="0" w:tplc="D08C3B94">
      <w:start w:val="1"/>
      <w:numFmt w:val="decimal"/>
      <w:lvlText w:val="4.4.%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4" w15:restartNumberingAfterBreak="0">
    <w:nsid w:val="152C0092"/>
    <w:multiLevelType w:val="hybridMultilevel"/>
    <w:tmpl w:val="1ABE2BB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15:restartNumberingAfterBreak="0">
    <w:nsid w:val="1CD67DD4"/>
    <w:multiLevelType w:val="hybridMultilevel"/>
    <w:tmpl w:val="1A36FA68"/>
    <w:lvl w:ilvl="0" w:tplc="D8F6D7F2">
      <w:start w:val="1"/>
      <w:numFmt w:val="decimal"/>
      <w:lvlText w:val="4.%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1D237255"/>
    <w:multiLevelType w:val="multilevel"/>
    <w:tmpl w:val="EB0CB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CF2B8D"/>
    <w:multiLevelType w:val="multilevel"/>
    <w:tmpl w:val="DAD6F9F4"/>
    <w:lvl w:ilvl="0">
      <w:start w:val="4"/>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40030A5"/>
    <w:multiLevelType w:val="multilevel"/>
    <w:tmpl w:val="C8B082F0"/>
    <w:lvl w:ilvl="0">
      <w:start w:val="1"/>
      <w:numFmt w:val="decimal"/>
      <w:lvlText w:val="4.3.%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3C3B57D7"/>
    <w:multiLevelType w:val="multilevel"/>
    <w:tmpl w:val="FB5A5D7A"/>
    <w:lvl w:ilvl="0">
      <w:start w:val="3"/>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0" w15:restartNumberingAfterBreak="0">
    <w:nsid w:val="3D937D37"/>
    <w:multiLevelType w:val="multilevel"/>
    <w:tmpl w:val="B3EA954C"/>
    <w:lvl w:ilvl="0">
      <w:start w:val="4"/>
      <w:numFmt w:val="decimal"/>
      <w:lvlText w:val="%1."/>
      <w:lvlJc w:val="left"/>
      <w:pPr>
        <w:ind w:left="360" w:hanging="360"/>
      </w:pPr>
      <w:rPr>
        <w:rFonts w:hint="default"/>
      </w:rPr>
    </w:lvl>
    <w:lvl w:ilvl="1">
      <w:start w:val="3"/>
      <w:numFmt w:val="decimal"/>
      <w:isLgl/>
      <w:lvlText w:val="%1.%2"/>
      <w:lvlJc w:val="left"/>
      <w:pPr>
        <w:ind w:left="66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11" w15:restartNumberingAfterBreak="0">
    <w:nsid w:val="41800B79"/>
    <w:multiLevelType w:val="multilevel"/>
    <w:tmpl w:val="CA9687F6"/>
    <w:lvl w:ilvl="0">
      <w:start w:val="1"/>
      <w:numFmt w:val="decimal"/>
      <w:lvlText w:val="4.3.%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43792B86"/>
    <w:multiLevelType w:val="multilevel"/>
    <w:tmpl w:val="E2BE3766"/>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61C6037"/>
    <w:multiLevelType w:val="multilevel"/>
    <w:tmpl w:val="C8B082F0"/>
    <w:lvl w:ilvl="0">
      <w:start w:val="1"/>
      <w:numFmt w:val="decimal"/>
      <w:lvlText w:val="4.3.%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5264043F"/>
    <w:multiLevelType w:val="multilevel"/>
    <w:tmpl w:val="6A76C12C"/>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543425BF"/>
    <w:multiLevelType w:val="multilevel"/>
    <w:tmpl w:val="BC5246EC"/>
    <w:lvl w:ilvl="0">
      <w:start w:val="1"/>
      <w:numFmt w:val="decimal"/>
      <w:lvlText w:val="4.3.%1"/>
      <w:lvlJc w:val="left"/>
      <w:pPr>
        <w:ind w:left="360" w:hanging="360"/>
      </w:pPr>
      <w:rPr>
        <w:rFonts w:hint="default"/>
      </w:rPr>
    </w:lvl>
    <w:lvl w:ilvl="1">
      <w:start w:val="3"/>
      <w:numFmt w:val="decimal"/>
      <w:isLgl/>
      <w:lvlText w:val="%1.%2"/>
      <w:lvlJc w:val="left"/>
      <w:pPr>
        <w:ind w:left="66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700" w:hanging="1440"/>
      </w:pPr>
      <w:rPr>
        <w:rFonts w:hint="default"/>
      </w:rPr>
    </w:lvl>
    <w:lvl w:ilvl="8">
      <w:start w:val="1"/>
      <w:numFmt w:val="decimal"/>
      <w:isLgl/>
      <w:lvlText w:val="%1.%2.%3.%4.%5.%6.%7.%8.%9"/>
      <w:lvlJc w:val="left"/>
      <w:pPr>
        <w:ind w:left="3240" w:hanging="1800"/>
      </w:pPr>
      <w:rPr>
        <w:rFonts w:hint="default"/>
      </w:rPr>
    </w:lvl>
  </w:abstractNum>
  <w:abstractNum w:abstractNumId="16" w15:restartNumberingAfterBreak="0">
    <w:nsid w:val="54D35FAF"/>
    <w:multiLevelType w:val="hybridMultilevel"/>
    <w:tmpl w:val="4CC80E66"/>
    <w:lvl w:ilvl="0" w:tplc="4009000F">
      <w:start w:val="1"/>
      <w:numFmt w:val="decimal"/>
      <w:lvlText w:val="%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7" w15:restartNumberingAfterBreak="0">
    <w:nsid w:val="5CEA4694"/>
    <w:multiLevelType w:val="hybridMultilevel"/>
    <w:tmpl w:val="DD1ACC44"/>
    <w:lvl w:ilvl="0" w:tplc="69CE81E8">
      <w:start w:val="1"/>
      <w:numFmt w:val="decimal"/>
      <w:lvlText w:val="4.3.%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8" w15:restartNumberingAfterBreak="0">
    <w:nsid w:val="60476021"/>
    <w:multiLevelType w:val="multilevel"/>
    <w:tmpl w:val="FE0844C8"/>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15:restartNumberingAfterBreak="0">
    <w:nsid w:val="61802F28"/>
    <w:multiLevelType w:val="hybridMultilevel"/>
    <w:tmpl w:val="7F30CC62"/>
    <w:lvl w:ilvl="0" w:tplc="C92065D8">
      <w:start w:val="1"/>
      <w:numFmt w:val="decimal"/>
      <w:lvlText w:val="4.%1"/>
      <w:lvlJc w:val="left"/>
      <w:pPr>
        <w:ind w:left="360" w:hanging="360"/>
      </w:pPr>
      <w:rPr>
        <w:rFonts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20" w15:restartNumberingAfterBreak="0">
    <w:nsid w:val="61F371A7"/>
    <w:multiLevelType w:val="hybridMultilevel"/>
    <w:tmpl w:val="DFAEBF3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1" w15:restartNumberingAfterBreak="0">
    <w:nsid w:val="64F55AB3"/>
    <w:multiLevelType w:val="multilevel"/>
    <w:tmpl w:val="40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685C4D07"/>
    <w:multiLevelType w:val="multilevel"/>
    <w:tmpl w:val="C8B082F0"/>
    <w:lvl w:ilvl="0">
      <w:start w:val="1"/>
      <w:numFmt w:val="decimal"/>
      <w:lvlText w:val="4.3.%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3" w15:restartNumberingAfterBreak="0">
    <w:nsid w:val="6A2B3B07"/>
    <w:multiLevelType w:val="multilevel"/>
    <w:tmpl w:val="82045866"/>
    <w:lvl w:ilvl="0">
      <w:start w:val="4"/>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4"/>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4" w15:restartNumberingAfterBreak="0">
    <w:nsid w:val="6D5D4774"/>
    <w:multiLevelType w:val="hybridMultilevel"/>
    <w:tmpl w:val="992A80BC"/>
    <w:lvl w:ilvl="0" w:tplc="062042CE">
      <w:start w:val="1"/>
      <w:numFmt w:val="decimal"/>
      <w:lvlText w:val="4.3.%1"/>
      <w:lvlJc w:val="left"/>
      <w:pPr>
        <w:ind w:left="720" w:hanging="360"/>
      </w:pPr>
      <w:rPr>
        <w:rFont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73C34F3A"/>
    <w:multiLevelType w:val="hybridMultilevel"/>
    <w:tmpl w:val="5EBCECA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78290513"/>
    <w:multiLevelType w:val="multilevel"/>
    <w:tmpl w:val="C44897AA"/>
    <w:lvl w:ilvl="0">
      <w:start w:val="4"/>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num w:numId="1">
    <w:abstractNumId w:val="9"/>
  </w:num>
  <w:num w:numId="2">
    <w:abstractNumId w:val="21"/>
  </w:num>
  <w:num w:numId="3">
    <w:abstractNumId w:val="1"/>
  </w:num>
  <w:num w:numId="4">
    <w:abstractNumId w:val="14"/>
  </w:num>
  <w:num w:numId="5">
    <w:abstractNumId w:val="25"/>
  </w:num>
  <w:num w:numId="6">
    <w:abstractNumId w:val="20"/>
  </w:num>
  <w:num w:numId="7">
    <w:abstractNumId w:val="6"/>
  </w:num>
  <w:num w:numId="8">
    <w:abstractNumId w:val="2"/>
  </w:num>
  <w:num w:numId="9">
    <w:abstractNumId w:val="16"/>
  </w:num>
  <w:num w:numId="10">
    <w:abstractNumId w:val="24"/>
  </w:num>
  <w:num w:numId="11">
    <w:abstractNumId w:val="4"/>
  </w:num>
  <w:num w:numId="12">
    <w:abstractNumId w:val="10"/>
  </w:num>
  <w:num w:numId="13">
    <w:abstractNumId w:val="18"/>
  </w:num>
  <w:num w:numId="14">
    <w:abstractNumId w:val="19"/>
  </w:num>
  <w:num w:numId="15">
    <w:abstractNumId w:val="0"/>
  </w:num>
  <w:num w:numId="16">
    <w:abstractNumId w:val="5"/>
  </w:num>
  <w:num w:numId="17">
    <w:abstractNumId w:val="17"/>
  </w:num>
  <w:num w:numId="18">
    <w:abstractNumId w:val="3"/>
  </w:num>
  <w:num w:numId="19">
    <w:abstractNumId w:val="15"/>
  </w:num>
  <w:num w:numId="20">
    <w:abstractNumId w:val="26"/>
  </w:num>
  <w:num w:numId="21">
    <w:abstractNumId w:val="8"/>
  </w:num>
  <w:num w:numId="22">
    <w:abstractNumId w:val="13"/>
  </w:num>
  <w:num w:numId="23">
    <w:abstractNumId w:val="22"/>
  </w:num>
  <w:num w:numId="24">
    <w:abstractNumId w:val="11"/>
  </w:num>
  <w:num w:numId="25">
    <w:abstractNumId w:val="7"/>
  </w:num>
  <w:num w:numId="26">
    <w:abstractNumId w:val="12"/>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EB6"/>
    <w:rsid w:val="00005F52"/>
    <w:rsid w:val="00013A51"/>
    <w:rsid w:val="00014057"/>
    <w:rsid w:val="00025C01"/>
    <w:rsid w:val="00025D98"/>
    <w:rsid w:val="000305D2"/>
    <w:rsid w:val="000325C4"/>
    <w:rsid w:val="00036305"/>
    <w:rsid w:val="00040322"/>
    <w:rsid w:val="0004199A"/>
    <w:rsid w:val="00042D03"/>
    <w:rsid w:val="0004404E"/>
    <w:rsid w:val="000609D1"/>
    <w:rsid w:val="000662CA"/>
    <w:rsid w:val="00072EF6"/>
    <w:rsid w:val="000746EC"/>
    <w:rsid w:val="00075E1C"/>
    <w:rsid w:val="00076273"/>
    <w:rsid w:val="00077F03"/>
    <w:rsid w:val="00084904"/>
    <w:rsid w:val="00086634"/>
    <w:rsid w:val="000904F7"/>
    <w:rsid w:val="0009078E"/>
    <w:rsid w:val="00090AA8"/>
    <w:rsid w:val="000925B6"/>
    <w:rsid w:val="00093149"/>
    <w:rsid w:val="000960CE"/>
    <w:rsid w:val="000A4543"/>
    <w:rsid w:val="000A46D9"/>
    <w:rsid w:val="000A7BB8"/>
    <w:rsid w:val="000A7DB2"/>
    <w:rsid w:val="000B0C00"/>
    <w:rsid w:val="000B2000"/>
    <w:rsid w:val="000B334C"/>
    <w:rsid w:val="000B6681"/>
    <w:rsid w:val="000C158D"/>
    <w:rsid w:val="000C6003"/>
    <w:rsid w:val="000D2070"/>
    <w:rsid w:val="000D427D"/>
    <w:rsid w:val="000D4AB4"/>
    <w:rsid w:val="000D5EDB"/>
    <w:rsid w:val="000D7D8D"/>
    <w:rsid w:val="000E0674"/>
    <w:rsid w:val="000E1A77"/>
    <w:rsid w:val="000E2FBF"/>
    <w:rsid w:val="000E41EA"/>
    <w:rsid w:val="000E6607"/>
    <w:rsid w:val="000E667E"/>
    <w:rsid w:val="000F042D"/>
    <w:rsid w:val="000F14B0"/>
    <w:rsid w:val="000F4CAF"/>
    <w:rsid w:val="000F6A5E"/>
    <w:rsid w:val="000F7174"/>
    <w:rsid w:val="000F7BB4"/>
    <w:rsid w:val="000F7E6E"/>
    <w:rsid w:val="0010027E"/>
    <w:rsid w:val="00100FD4"/>
    <w:rsid w:val="00103805"/>
    <w:rsid w:val="00104CC7"/>
    <w:rsid w:val="00105D72"/>
    <w:rsid w:val="00111DD7"/>
    <w:rsid w:val="00113984"/>
    <w:rsid w:val="001141FC"/>
    <w:rsid w:val="00114289"/>
    <w:rsid w:val="001172C8"/>
    <w:rsid w:val="00117EA1"/>
    <w:rsid w:val="00121051"/>
    <w:rsid w:val="001212BF"/>
    <w:rsid w:val="00123249"/>
    <w:rsid w:val="0012461E"/>
    <w:rsid w:val="00125C9A"/>
    <w:rsid w:val="001272B0"/>
    <w:rsid w:val="0013584B"/>
    <w:rsid w:val="00142A02"/>
    <w:rsid w:val="0014617A"/>
    <w:rsid w:val="00155AB3"/>
    <w:rsid w:val="001577AA"/>
    <w:rsid w:val="001601B3"/>
    <w:rsid w:val="00160917"/>
    <w:rsid w:val="001609F7"/>
    <w:rsid w:val="00160DA0"/>
    <w:rsid w:val="00161D56"/>
    <w:rsid w:val="001624CA"/>
    <w:rsid w:val="00165D45"/>
    <w:rsid w:val="00166376"/>
    <w:rsid w:val="00173248"/>
    <w:rsid w:val="00173EC2"/>
    <w:rsid w:val="00175AB4"/>
    <w:rsid w:val="00176B61"/>
    <w:rsid w:val="00185F72"/>
    <w:rsid w:val="00187527"/>
    <w:rsid w:val="001900DF"/>
    <w:rsid w:val="00190A81"/>
    <w:rsid w:val="00191B52"/>
    <w:rsid w:val="001A660D"/>
    <w:rsid w:val="001A79EF"/>
    <w:rsid w:val="001C0F15"/>
    <w:rsid w:val="001C7461"/>
    <w:rsid w:val="001D07C1"/>
    <w:rsid w:val="001D4CB4"/>
    <w:rsid w:val="001D5700"/>
    <w:rsid w:val="001E2FD7"/>
    <w:rsid w:val="001E5785"/>
    <w:rsid w:val="001E59D6"/>
    <w:rsid w:val="001E5CFB"/>
    <w:rsid w:val="001E78B0"/>
    <w:rsid w:val="001F0B18"/>
    <w:rsid w:val="001F6CF5"/>
    <w:rsid w:val="0020547D"/>
    <w:rsid w:val="00207316"/>
    <w:rsid w:val="00213316"/>
    <w:rsid w:val="0021612A"/>
    <w:rsid w:val="00217A8B"/>
    <w:rsid w:val="00222787"/>
    <w:rsid w:val="00222CC2"/>
    <w:rsid w:val="00223555"/>
    <w:rsid w:val="00223712"/>
    <w:rsid w:val="00225B50"/>
    <w:rsid w:val="00227856"/>
    <w:rsid w:val="00230845"/>
    <w:rsid w:val="002326C4"/>
    <w:rsid w:val="002350A4"/>
    <w:rsid w:val="0023526F"/>
    <w:rsid w:val="00236120"/>
    <w:rsid w:val="00237FCF"/>
    <w:rsid w:val="00242357"/>
    <w:rsid w:val="00246490"/>
    <w:rsid w:val="00251750"/>
    <w:rsid w:val="002527FD"/>
    <w:rsid w:val="002532C9"/>
    <w:rsid w:val="002576AF"/>
    <w:rsid w:val="00263C3F"/>
    <w:rsid w:val="00263E15"/>
    <w:rsid w:val="0027156F"/>
    <w:rsid w:val="002735DA"/>
    <w:rsid w:val="00275516"/>
    <w:rsid w:val="00287BBF"/>
    <w:rsid w:val="00290707"/>
    <w:rsid w:val="00290AA2"/>
    <w:rsid w:val="002939E6"/>
    <w:rsid w:val="00297EB7"/>
    <w:rsid w:val="002A0CC3"/>
    <w:rsid w:val="002A63E1"/>
    <w:rsid w:val="002B0946"/>
    <w:rsid w:val="002B6A76"/>
    <w:rsid w:val="002B783E"/>
    <w:rsid w:val="002C030A"/>
    <w:rsid w:val="002C1776"/>
    <w:rsid w:val="002C2EF9"/>
    <w:rsid w:val="002C32F2"/>
    <w:rsid w:val="002D26AF"/>
    <w:rsid w:val="002D6D6A"/>
    <w:rsid w:val="002D6E41"/>
    <w:rsid w:val="002D7103"/>
    <w:rsid w:val="002D72EE"/>
    <w:rsid w:val="002D7FC9"/>
    <w:rsid w:val="002E21CD"/>
    <w:rsid w:val="002E6055"/>
    <w:rsid w:val="002E638A"/>
    <w:rsid w:val="002E7953"/>
    <w:rsid w:val="002F0EB6"/>
    <w:rsid w:val="002F1C18"/>
    <w:rsid w:val="00300B4E"/>
    <w:rsid w:val="003023DC"/>
    <w:rsid w:val="0030452F"/>
    <w:rsid w:val="00305976"/>
    <w:rsid w:val="003060C8"/>
    <w:rsid w:val="003063E8"/>
    <w:rsid w:val="00307BDA"/>
    <w:rsid w:val="00311023"/>
    <w:rsid w:val="003122E2"/>
    <w:rsid w:val="00314BBF"/>
    <w:rsid w:val="00316092"/>
    <w:rsid w:val="00321A7C"/>
    <w:rsid w:val="003267FE"/>
    <w:rsid w:val="00335751"/>
    <w:rsid w:val="003358F5"/>
    <w:rsid w:val="003360E8"/>
    <w:rsid w:val="00342A5A"/>
    <w:rsid w:val="00342DD4"/>
    <w:rsid w:val="003449A9"/>
    <w:rsid w:val="00344D74"/>
    <w:rsid w:val="003457BF"/>
    <w:rsid w:val="0034602C"/>
    <w:rsid w:val="003472B8"/>
    <w:rsid w:val="00347D9F"/>
    <w:rsid w:val="00350375"/>
    <w:rsid w:val="00352F10"/>
    <w:rsid w:val="00352F72"/>
    <w:rsid w:val="00356194"/>
    <w:rsid w:val="003635E4"/>
    <w:rsid w:val="0036384D"/>
    <w:rsid w:val="00366EB0"/>
    <w:rsid w:val="00366F37"/>
    <w:rsid w:val="00372FC1"/>
    <w:rsid w:val="00376416"/>
    <w:rsid w:val="0037756A"/>
    <w:rsid w:val="00377AD3"/>
    <w:rsid w:val="0038144E"/>
    <w:rsid w:val="00385971"/>
    <w:rsid w:val="00385D61"/>
    <w:rsid w:val="003930D7"/>
    <w:rsid w:val="003A0C75"/>
    <w:rsid w:val="003A2188"/>
    <w:rsid w:val="003A315C"/>
    <w:rsid w:val="003B0077"/>
    <w:rsid w:val="003B241D"/>
    <w:rsid w:val="003B3359"/>
    <w:rsid w:val="003B565D"/>
    <w:rsid w:val="003B5B4B"/>
    <w:rsid w:val="003B6B23"/>
    <w:rsid w:val="003B6E7B"/>
    <w:rsid w:val="003C3FAD"/>
    <w:rsid w:val="003C418E"/>
    <w:rsid w:val="003C590A"/>
    <w:rsid w:val="003D2910"/>
    <w:rsid w:val="003E0353"/>
    <w:rsid w:val="003E19A0"/>
    <w:rsid w:val="003E2F1D"/>
    <w:rsid w:val="003E35DE"/>
    <w:rsid w:val="003E4402"/>
    <w:rsid w:val="003E4445"/>
    <w:rsid w:val="003E54FB"/>
    <w:rsid w:val="003E7683"/>
    <w:rsid w:val="003F1692"/>
    <w:rsid w:val="003F318A"/>
    <w:rsid w:val="00400668"/>
    <w:rsid w:val="00405A16"/>
    <w:rsid w:val="00407E52"/>
    <w:rsid w:val="004216D9"/>
    <w:rsid w:val="00422776"/>
    <w:rsid w:val="00432310"/>
    <w:rsid w:val="0043609E"/>
    <w:rsid w:val="0044112A"/>
    <w:rsid w:val="004420C3"/>
    <w:rsid w:val="0044345A"/>
    <w:rsid w:val="00445C2C"/>
    <w:rsid w:val="004571C8"/>
    <w:rsid w:val="00457242"/>
    <w:rsid w:val="004613DA"/>
    <w:rsid w:val="00465C10"/>
    <w:rsid w:val="0047430F"/>
    <w:rsid w:val="00476446"/>
    <w:rsid w:val="00476BB7"/>
    <w:rsid w:val="004800E8"/>
    <w:rsid w:val="00480C75"/>
    <w:rsid w:val="00481F22"/>
    <w:rsid w:val="0048222B"/>
    <w:rsid w:val="004849ED"/>
    <w:rsid w:val="00487040"/>
    <w:rsid w:val="00491BF7"/>
    <w:rsid w:val="00495DC2"/>
    <w:rsid w:val="00497B39"/>
    <w:rsid w:val="004A1B12"/>
    <w:rsid w:val="004A37A1"/>
    <w:rsid w:val="004A3B7F"/>
    <w:rsid w:val="004A5CF0"/>
    <w:rsid w:val="004B00C3"/>
    <w:rsid w:val="004B209A"/>
    <w:rsid w:val="004B4860"/>
    <w:rsid w:val="004B4B28"/>
    <w:rsid w:val="004B4D14"/>
    <w:rsid w:val="004C072A"/>
    <w:rsid w:val="004C2392"/>
    <w:rsid w:val="004C4485"/>
    <w:rsid w:val="004C52E5"/>
    <w:rsid w:val="004C7BDE"/>
    <w:rsid w:val="004D06B0"/>
    <w:rsid w:val="004E16CA"/>
    <w:rsid w:val="004F0AFC"/>
    <w:rsid w:val="004F3E35"/>
    <w:rsid w:val="004F7CB9"/>
    <w:rsid w:val="00501BC8"/>
    <w:rsid w:val="00502BE5"/>
    <w:rsid w:val="00503455"/>
    <w:rsid w:val="00503B2B"/>
    <w:rsid w:val="00503D54"/>
    <w:rsid w:val="00504E16"/>
    <w:rsid w:val="005070DA"/>
    <w:rsid w:val="005075F4"/>
    <w:rsid w:val="005160D8"/>
    <w:rsid w:val="00516656"/>
    <w:rsid w:val="00520B72"/>
    <w:rsid w:val="00525623"/>
    <w:rsid w:val="005324C2"/>
    <w:rsid w:val="0054410F"/>
    <w:rsid w:val="005465F2"/>
    <w:rsid w:val="0054705A"/>
    <w:rsid w:val="00550980"/>
    <w:rsid w:val="00551C61"/>
    <w:rsid w:val="00553B8C"/>
    <w:rsid w:val="00554EB9"/>
    <w:rsid w:val="00555C08"/>
    <w:rsid w:val="005561C4"/>
    <w:rsid w:val="005573C0"/>
    <w:rsid w:val="00557A19"/>
    <w:rsid w:val="00557B78"/>
    <w:rsid w:val="005600AB"/>
    <w:rsid w:val="00560B8B"/>
    <w:rsid w:val="00564A03"/>
    <w:rsid w:val="00572F19"/>
    <w:rsid w:val="00573CFD"/>
    <w:rsid w:val="005747FC"/>
    <w:rsid w:val="0057738A"/>
    <w:rsid w:val="0057783B"/>
    <w:rsid w:val="00580B88"/>
    <w:rsid w:val="00580EAF"/>
    <w:rsid w:val="00583499"/>
    <w:rsid w:val="00585646"/>
    <w:rsid w:val="005871CB"/>
    <w:rsid w:val="0058740C"/>
    <w:rsid w:val="005912F7"/>
    <w:rsid w:val="0059319D"/>
    <w:rsid w:val="00594C32"/>
    <w:rsid w:val="00597DC8"/>
    <w:rsid w:val="00597FC7"/>
    <w:rsid w:val="005B2AFE"/>
    <w:rsid w:val="005B30E0"/>
    <w:rsid w:val="005B36D9"/>
    <w:rsid w:val="005B548A"/>
    <w:rsid w:val="005B5EDA"/>
    <w:rsid w:val="005C33D1"/>
    <w:rsid w:val="005C4DA3"/>
    <w:rsid w:val="005C5118"/>
    <w:rsid w:val="005C5D18"/>
    <w:rsid w:val="005C6576"/>
    <w:rsid w:val="005D4338"/>
    <w:rsid w:val="005D5DDB"/>
    <w:rsid w:val="005E3497"/>
    <w:rsid w:val="005E40C0"/>
    <w:rsid w:val="005E78EB"/>
    <w:rsid w:val="005F1A37"/>
    <w:rsid w:val="005F4C78"/>
    <w:rsid w:val="005F50E5"/>
    <w:rsid w:val="005F53B3"/>
    <w:rsid w:val="005F54C9"/>
    <w:rsid w:val="005F7B23"/>
    <w:rsid w:val="00604508"/>
    <w:rsid w:val="006078AB"/>
    <w:rsid w:val="006113CB"/>
    <w:rsid w:val="00612FCC"/>
    <w:rsid w:val="0061458C"/>
    <w:rsid w:val="00614C5D"/>
    <w:rsid w:val="00615BE2"/>
    <w:rsid w:val="00622B43"/>
    <w:rsid w:val="00632967"/>
    <w:rsid w:val="0063415E"/>
    <w:rsid w:val="0063583F"/>
    <w:rsid w:val="00635B43"/>
    <w:rsid w:val="00645C48"/>
    <w:rsid w:val="00646FA9"/>
    <w:rsid w:val="00650717"/>
    <w:rsid w:val="00656465"/>
    <w:rsid w:val="00660FC3"/>
    <w:rsid w:val="00665058"/>
    <w:rsid w:val="006743CA"/>
    <w:rsid w:val="00674CCC"/>
    <w:rsid w:val="00680B38"/>
    <w:rsid w:val="00683C28"/>
    <w:rsid w:val="00687F67"/>
    <w:rsid w:val="0069177B"/>
    <w:rsid w:val="00692909"/>
    <w:rsid w:val="006951BC"/>
    <w:rsid w:val="00697E8E"/>
    <w:rsid w:val="006A097B"/>
    <w:rsid w:val="006A19F4"/>
    <w:rsid w:val="006A5E47"/>
    <w:rsid w:val="006A7035"/>
    <w:rsid w:val="006B20F5"/>
    <w:rsid w:val="006B4346"/>
    <w:rsid w:val="006B6BD6"/>
    <w:rsid w:val="006C2A17"/>
    <w:rsid w:val="006C3248"/>
    <w:rsid w:val="006C40D4"/>
    <w:rsid w:val="006C503F"/>
    <w:rsid w:val="006E1B13"/>
    <w:rsid w:val="006F00F7"/>
    <w:rsid w:val="006F3012"/>
    <w:rsid w:val="006F31B0"/>
    <w:rsid w:val="006F5A12"/>
    <w:rsid w:val="00700FFE"/>
    <w:rsid w:val="00702916"/>
    <w:rsid w:val="00704137"/>
    <w:rsid w:val="00704823"/>
    <w:rsid w:val="00704905"/>
    <w:rsid w:val="00705684"/>
    <w:rsid w:val="00710CA4"/>
    <w:rsid w:val="0071122A"/>
    <w:rsid w:val="00712BF8"/>
    <w:rsid w:val="0071478B"/>
    <w:rsid w:val="00716723"/>
    <w:rsid w:val="007167E1"/>
    <w:rsid w:val="007214ED"/>
    <w:rsid w:val="00723405"/>
    <w:rsid w:val="00723DC2"/>
    <w:rsid w:val="00727721"/>
    <w:rsid w:val="00727CDA"/>
    <w:rsid w:val="007345B1"/>
    <w:rsid w:val="0074005D"/>
    <w:rsid w:val="0074268E"/>
    <w:rsid w:val="00746044"/>
    <w:rsid w:val="007516B1"/>
    <w:rsid w:val="00751C12"/>
    <w:rsid w:val="00754AFD"/>
    <w:rsid w:val="00755F78"/>
    <w:rsid w:val="00766DB3"/>
    <w:rsid w:val="0076757E"/>
    <w:rsid w:val="007704B4"/>
    <w:rsid w:val="00772DB4"/>
    <w:rsid w:val="00773328"/>
    <w:rsid w:val="0077350A"/>
    <w:rsid w:val="00777317"/>
    <w:rsid w:val="00780820"/>
    <w:rsid w:val="00780ADD"/>
    <w:rsid w:val="00782D0F"/>
    <w:rsid w:val="007841FE"/>
    <w:rsid w:val="00786CE4"/>
    <w:rsid w:val="00786F95"/>
    <w:rsid w:val="00787609"/>
    <w:rsid w:val="00791A8F"/>
    <w:rsid w:val="007934A3"/>
    <w:rsid w:val="00796804"/>
    <w:rsid w:val="00796A73"/>
    <w:rsid w:val="007B7F3F"/>
    <w:rsid w:val="007C0746"/>
    <w:rsid w:val="007C2D68"/>
    <w:rsid w:val="007C33EF"/>
    <w:rsid w:val="007C5648"/>
    <w:rsid w:val="007C7065"/>
    <w:rsid w:val="007D2E1D"/>
    <w:rsid w:val="007D3307"/>
    <w:rsid w:val="007D3CBA"/>
    <w:rsid w:val="007D4486"/>
    <w:rsid w:val="007D72B6"/>
    <w:rsid w:val="007E0920"/>
    <w:rsid w:val="007E16B4"/>
    <w:rsid w:val="007E6980"/>
    <w:rsid w:val="007E7044"/>
    <w:rsid w:val="007E7A07"/>
    <w:rsid w:val="007F7E25"/>
    <w:rsid w:val="008013B7"/>
    <w:rsid w:val="00802A27"/>
    <w:rsid w:val="00802FE9"/>
    <w:rsid w:val="00805552"/>
    <w:rsid w:val="0080788E"/>
    <w:rsid w:val="00811EB7"/>
    <w:rsid w:val="0081457B"/>
    <w:rsid w:val="008149AB"/>
    <w:rsid w:val="0081572B"/>
    <w:rsid w:val="00816D41"/>
    <w:rsid w:val="00820FD3"/>
    <w:rsid w:val="00822C38"/>
    <w:rsid w:val="00823266"/>
    <w:rsid w:val="00825063"/>
    <w:rsid w:val="00826022"/>
    <w:rsid w:val="0083196D"/>
    <w:rsid w:val="00835AB1"/>
    <w:rsid w:val="0083796E"/>
    <w:rsid w:val="008461F4"/>
    <w:rsid w:val="00855731"/>
    <w:rsid w:val="0086006B"/>
    <w:rsid w:val="008617C6"/>
    <w:rsid w:val="008656EA"/>
    <w:rsid w:val="0087073B"/>
    <w:rsid w:val="00874454"/>
    <w:rsid w:val="00885EC2"/>
    <w:rsid w:val="00886448"/>
    <w:rsid w:val="0089306F"/>
    <w:rsid w:val="008A117D"/>
    <w:rsid w:val="008A419B"/>
    <w:rsid w:val="008A6B06"/>
    <w:rsid w:val="008B0223"/>
    <w:rsid w:val="008B1A61"/>
    <w:rsid w:val="008B7C9C"/>
    <w:rsid w:val="008C0C3D"/>
    <w:rsid w:val="008C2287"/>
    <w:rsid w:val="008C3C4A"/>
    <w:rsid w:val="008D0980"/>
    <w:rsid w:val="008D14A1"/>
    <w:rsid w:val="008D2E79"/>
    <w:rsid w:val="008E10E1"/>
    <w:rsid w:val="008E330C"/>
    <w:rsid w:val="008E3C1E"/>
    <w:rsid w:val="008E4284"/>
    <w:rsid w:val="008E73B1"/>
    <w:rsid w:val="008F219E"/>
    <w:rsid w:val="008F3F89"/>
    <w:rsid w:val="008F60CE"/>
    <w:rsid w:val="008F7AD3"/>
    <w:rsid w:val="0090279B"/>
    <w:rsid w:val="009038F6"/>
    <w:rsid w:val="00906CAB"/>
    <w:rsid w:val="00907D5C"/>
    <w:rsid w:val="009153BA"/>
    <w:rsid w:val="00917BE2"/>
    <w:rsid w:val="00917F7C"/>
    <w:rsid w:val="00920170"/>
    <w:rsid w:val="009204C1"/>
    <w:rsid w:val="00924232"/>
    <w:rsid w:val="00926549"/>
    <w:rsid w:val="009302E1"/>
    <w:rsid w:val="0093250D"/>
    <w:rsid w:val="00936B51"/>
    <w:rsid w:val="00937787"/>
    <w:rsid w:val="00937E3A"/>
    <w:rsid w:val="009421F3"/>
    <w:rsid w:val="00943F0B"/>
    <w:rsid w:val="009442B6"/>
    <w:rsid w:val="009463D1"/>
    <w:rsid w:val="009500DE"/>
    <w:rsid w:val="00952511"/>
    <w:rsid w:val="00954DAE"/>
    <w:rsid w:val="00957993"/>
    <w:rsid w:val="00961AD7"/>
    <w:rsid w:val="0096617E"/>
    <w:rsid w:val="00975B05"/>
    <w:rsid w:val="0097744D"/>
    <w:rsid w:val="00977F19"/>
    <w:rsid w:val="00982C37"/>
    <w:rsid w:val="00983819"/>
    <w:rsid w:val="00991036"/>
    <w:rsid w:val="009912C4"/>
    <w:rsid w:val="0099168C"/>
    <w:rsid w:val="00996563"/>
    <w:rsid w:val="009A112B"/>
    <w:rsid w:val="009A215C"/>
    <w:rsid w:val="009A39AB"/>
    <w:rsid w:val="009A4FB4"/>
    <w:rsid w:val="009A5B4B"/>
    <w:rsid w:val="009B0B2E"/>
    <w:rsid w:val="009B1521"/>
    <w:rsid w:val="009B2516"/>
    <w:rsid w:val="009B54A4"/>
    <w:rsid w:val="009C107F"/>
    <w:rsid w:val="009C1E74"/>
    <w:rsid w:val="009C3F4A"/>
    <w:rsid w:val="009C58E4"/>
    <w:rsid w:val="009C59BB"/>
    <w:rsid w:val="009C601E"/>
    <w:rsid w:val="009D4825"/>
    <w:rsid w:val="009D496B"/>
    <w:rsid w:val="009D4DE9"/>
    <w:rsid w:val="009E4538"/>
    <w:rsid w:val="009E46B2"/>
    <w:rsid w:val="009E7C13"/>
    <w:rsid w:val="009F07B4"/>
    <w:rsid w:val="00A0227E"/>
    <w:rsid w:val="00A024C4"/>
    <w:rsid w:val="00A02508"/>
    <w:rsid w:val="00A029AD"/>
    <w:rsid w:val="00A03560"/>
    <w:rsid w:val="00A0359E"/>
    <w:rsid w:val="00A03FEE"/>
    <w:rsid w:val="00A04F5A"/>
    <w:rsid w:val="00A0515A"/>
    <w:rsid w:val="00A06735"/>
    <w:rsid w:val="00A06C20"/>
    <w:rsid w:val="00A137E6"/>
    <w:rsid w:val="00A13BFD"/>
    <w:rsid w:val="00A20B54"/>
    <w:rsid w:val="00A22ED9"/>
    <w:rsid w:val="00A308EB"/>
    <w:rsid w:val="00A30C6A"/>
    <w:rsid w:val="00A31966"/>
    <w:rsid w:val="00A348BB"/>
    <w:rsid w:val="00A3778E"/>
    <w:rsid w:val="00A428A5"/>
    <w:rsid w:val="00A42A4E"/>
    <w:rsid w:val="00A447F8"/>
    <w:rsid w:val="00A54040"/>
    <w:rsid w:val="00A56BB7"/>
    <w:rsid w:val="00A57FF6"/>
    <w:rsid w:val="00A62624"/>
    <w:rsid w:val="00A63658"/>
    <w:rsid w:val="00A648FD"/>
    <w:rsid w:val="00A70D42"/>
    <w:rsid w:val="00A807E0"/>
    <w:rsid w:val="00A81612"/>
    <w:rsid w:val="00A8229E"/>
    <w:rsid w:val="00A86726"/>
    <w:rsid w:val="00A93C52"/>
    <w:rsid w:val="00A96B16"/>
    <w:rsid w:val="00AA22EB"/>
    <w:rsid w:val="00AA38E5"/>
    <w:rsid w:val="00AA65A4"/>
    <w:rsid w:val="00AA78F2"/>
    <w:rsid w:val="00AB4745"/>
    <w:rsid w:val="00AB4DFA"/>
    <w:rsid w:val="00AB54F3"/>
    <w:rsid w:val="00AC4032"/>
    <w:rsid w:val="00AC508B"/>
    <w:rsid w:val="00AC7018"/>
    <w:rsid w:val="00AC778F"/>
    <w:rsid w:val="00AD10FD"/>
    <w:rsid w:val="00AD3183"/>
    <w:rsid w:val="00AD483F"/>
    <w:rsid w:val="00AD5925"/>
    <w:rsid w:val="00AD5D90"/>
    <w:rsid w:val="00AD769D"/>
    <w:rsid w:val="00AD7769"/>
    <w:rsid w:val="00AE1C1B"/>
    <w:rsid w:val="00AE4842"/>
    <w:rsid w:val="00AE684D"/>
    <w:rsid w:val="00AF1484"/>
    <w:rsid w:val="00AF42AA"/>
    <w:rsid w:val="00AF5C6B"/>
    <w:rsid w:val="00AF6E3C"/>
    <w:rsid w:val="00B0000C"/>
    <w:rsid w:val="00B01C6E"/>
    <w:rsid w:val="00B02666"/>
    <w:rsid w:val="00B0457C"/>
    <w:rsid w:val="00B04868"/>
    <w:rsid w:val="00B059E8"/>
    <w:rsid w:val="00B1061C"/>
    <w:rsid w:val="00B116E5"/>
    <w:rsid w:val="00B14144"/>
    <w:rsid w:val="00B15798"/>
    <w:rsid w:val="00B20503"/>
    <w:rsid w:val="00B2247B"/>
    <w:rsid w:val="00B26B4B"/>
    <w:rsid w:val="00B26F9E"/>
    <w:rsid w:val="00B34E47"/>
    <w:rsid w:val="00B3552F"/>
    <w:rsid w:val="00B35617"/>
    <w:rsid w:val="00B3731F"/>
    <w:rsid w:val="00B41D0A"/>
    <w:rsid w:val="00B472FC"/>
    <w:rsid w:val="00B526EF"/>
    <w:rsid w:val="00B53635"/>
    <w:rsid w:val="00B54636"/>
    <w:rsid w:val="00B60F83"/>
    <w:rsid w:val="00B62CCA"/>
    <w:rsid w:val="00B64CE4"/>
    <w:rsid w:val="00B65366"/>
    <w:rsid w:val="00B66BAB"/>
    <w:rsid w:val="00B67B01"/>
    <w:rsid w:val="00B70580"/>
    <w:rsid w:val="00B80792"/>
    <w:rsid w:val="00B8488D"/>
    <w:rsid w:val="00B852E9"/>
    <w:rsid w:val="00B92FB2"/>
    <w:rsid w:val="00B93617"/>
    <w:rsid w:val="00BA11E0"/>
    <w:rsid w:val="00BA62E2"/>
    <w:rsid w:val="00BA6401"/>
    <w:rsid w:val="00BB3576"/>
    <w:rsid w:val="00BB5847"/>
    <w:rsid w:val="00BB5F60"/>
    <w:rsid w:val="00BB64B2"/>
    <w:rsid w:val="00BB7943"/>
    <w:rsid w:val="00BB7F31"/>
    <w:rsid w:val="00BC2A0F"/>
    <w:rsid w:val="00BC47FE"/>
    <w:rsid w:val="00BC6DD0"/>
    <w:rsid w:val="00BD0AF7"/>
    <w:rsid w:val="00BD125B"/>
    <w:rsid w:val="00BD427E"/>
    <w:rsid w:val="00BE04FE"/>
    <w:rsid w:val="00BE3DAD"/>
    <w:rsid w:val="00BE48C9"/>
    <w:rsid w:val="00BE4ED1"/>
    <w:rsid w:val="00BE53B5"/>
    <w:rsid w:val="00BF2947"/>
    <w:rsid w:val="00BF4896"/>
    <w:rsid w:val="00BF5D6C"/>
    <w:rsid w:val="00C0025A"/>
    <w:rsid w:val="00C03ABF"/>
    <w:rsid w:val="00C05C18"/>
    <w:rsid w:val="00C07C8A"/>
    <w:rsid w:val="00C16B9B"/>
    <w:rsid w:val="00C2177A"/>
    <w:rsid w:val="00C2266D"/>
    <w:rsid w:val="00C24A72"/>
    <w:rsid w:val="00C26622"/>
    <w:rsid w:val="00C27506"/>
    <w:rsid w:val="00C2799E"/>
    <w:rsid w:val="00C30E10"/>
    <w:rsid w:val="00C31C0D"/>
    <w:rsid w:val="00C37720"/>
    <w:rsid w:val="00C40678"/>
    <w:rsid w:val="00C43727"/>
    <w:rsid w:val="00C44862"/>
    <w:rsid w:val="00C5031B"/>
    <w:rsid w:val="00C508A6"/>
    <w:rsid w:val="00C53416"/>
    <w:rsid w:val="00C54701"/>
    <w:rsid w:val="00C55167"/>
    <w:rsid w:val="00C608FF"/>
    <w:rsid w:val="00C64639"/>
    <w:rsid w:val="00C67F0A"/>
    <w:rsid w:val="00C736A1"/>
    <w:rsid w:val="00C8133D"/>
    <w:rsid w:val="00C82064"/>
    <w:rsid w:val="00C840FB"/>
    <w:rsid w:val="00C85ED2"/>
    <w:rsid w:val="00C87C75"/>
    <w:rsid w:val="00C9058F"/>
    <w:rsid w:val="00C91A5A"/>
    <w:rsid w:val="00C939AE"/>
    <w:rsid w:val="00C93E74"/>
    <w:rsid w:val="00C94A38"/>
    <w:rsid w:val="00C96623"/>
    <w:rsid w:val="00C97277"/>
    <w:rsid w:val="00CA4772"/>
    <w:rsid w:val="00CA48B6"/>
    <w:rsid w:val="00CA56FA"/>
    <w:rsid w:val="00CA61E7"/>
    <w:rsid w:val="00CA6454"/>
    <w:rsid w:val="00CA7674"/>
    <w:rsid w:val="00CA7C1F"/>
    <w:rsid w:val="00CB0657"/>
    <w:rsid w:val="00CB3490"/>
    <w:rsid w:val="00CC14C5"/>
    <w:rsid w:val="00CC37BE"/>
    <w:rsid w:val="00CC39EA"/>
    <w:rsid w:val="00CC68F8"/>
    <w:rsid w:val="00CD02DC"/>
    <w:rsid w:val="00CD1DEA"/>
    <w:rsid w:val="00CD32F7"/>
    <w:rsid w:val="00CD584B"/>
    <w:rsid w:val="00CD742E"/>
    <w:rsid w:val="00CE11A1"/>
    <w:rsid w:val="00CE196F"/>
    <w:rsid w:val="00CE5EF7"/>
    <w:rsid w:val="00CF1342"/>
    <w:rsid w:val="00CF1B1D"/>
    <w:rsid w:val="00CF5318"/>
    <w:rsid w:val="00D0591D"/>
    <w:rsid w:val="00D120FB"/>
    <w:rsid w:val="00D13B40"/>
    <w:rsid w:val="00D22CA8"/>
    <w:rsid w:val="00D26EE2"/>
    <w:rsid w:val="00D35361"/>
    <w:rsid w:val="00D40D06"/>
    <w:rsid w:val="00D4279F"/>
    <w:rsid w:val="00D45AA2"/>
    <w:rsid w:val="00D47E95"/>
    <w:rsid w:val="00D60441"/>
    <w:rsid w:val="00D620A0"/>
    <w:rsid w:val="00D7494A"/>
    <w:rsid w:val="00D76E2A"/>
    <w:rsid w:val="00D8113F"/>
    <w:rsid w:val="00D94F0C"/>
    <w:rsid w:val="00DA05F2"/>
    <w:rsid w:val="00DA4576"/>
    <w:rsid w:val="00DB4386"/>
    <w:rsid w:val="00DB5DD7"/>
    <w:rsid w:val="00DB7E68"/>
    <w:rsid w:val="00DC0AF2"/>
    <w:rsid w:val="00DC5953"/>
    <w:rsid w:val="00DD099A"/>
    <w:rsid w:val="00DD09D7"/>
    <w:rsid w:val="00DD0E83"/>
    <w:rsid w:val="00DD3E77"/>
    <w:rsid w:val="00DD5D9E"/>
    <w:rsid w:val="00DE1060"/>
    <w:rsid w:val="00DE260D"/>
    <w:rsid w:val="00DE4331"/>
    <w:rsid w:val="00DE48B9"/>
    <w:rsid w:val="00DE508B"/>
    <w:rsid w:val="00DF415C"/>
    <w:rsid w:val="00DF54C8"/>
    <w:rsid w:val="00DF6D33"/>
    <w:rsid w:val="00DF7A29"/>
    <w:rsid w:val="00E00912"/>
    <w:rsid w:val="00E02135"/>
    <w:rsid w:val="00E02D8D"/>
    <w:rsid w:val="00E044EF"/>
    <w:rsid w:val="00E11BD8"/>
    <w:rsid w:val="00E1282A"/>
    <w:rsid w:val="00E14ED2"/>
    <w:rsid w:val="00E1508B"/>
    <w:rsid w:val="00E1714B"/>
    <w:rsid w:val="00E2210F"/>
    <w:rsid w:val="00E23113"/>
    <w:rsid w:val="00E23193"/>
    <w:rsid w:val="00E262D5"/>
    <w:rsid w:val="00E276B1"/>
    <w:rsid w:val="00E36957"/>
    <w:rsid w:val="00E36B0A"/>
    <w:rsid w:val="00E36D09"/>
    <w:rsid w:val="00E43F37"/>
    <w:rsid w:val="00E45FE6"/>
    <w:rsid w:val="00E47739"/>
    <w:rsid w:val="00E531BE"/>
    <w:rsid w:val="00E533E4"/>
    <w:rsid w:val="00E62945"/>
    <w:rsid w:val="00E6595E"/>
    <w:rsid w:val="00E66FEA"/>
    <w:rsid w:val="00E70226"/>
    <w:rsid w:val="00E71A75"/>
    <w:rsid w:val="00E71C9F"/>
    <w:rsid w:val="00E728F4"/>
    <w:rsid w:val="00E72940"/>
    <w:rsid w:val="00E72F88"/>
    <w:rsid w:val="00E779F9"/>
    <w:rsid w:val="00E81F2A"/>
    <w:rsid w:val="00E84847"/>
    <w:rsid w:val="00E8491F"/>
    <w:rsid w:val="00E86DB5"/>
    <w:rsid w:val="00E93063"/>
    <w:rsid w:val="00EA0154"/>
    <w:rsid w:val="00EA57DE"/>
    <w:rsid w:val="00EA73F8"/>
    <w:rsid w:val="00EB10B5"/>
    <w:rsid w:val="00EB26C9"/>
    <w:rsid w:val="00EB655C"/>
    <w:rsid w:val="00EB7287"/>
    <w:rsid w:val="00EB7901"/>
    <w:rsid w:val="00EC3D3B"/>
    <w:rsid w:val="00EC6847"/>
    <w:rsid w:val="00ED2596"/>
    <w:rsid w:val="00ED4E34"/>
    <w:rsid w:val="00EF6158"/>
    <w:rsid w:val="00EF68E6"/>
    <w:rsid w:val="00EF6CBF"/>
    <w:rsid w:val="00F12C7C"/>
    <w:rsid w:val="00F16CA0"/>
    <w:rsid w:val="00F21806"/>
    <w:rsid w:val="00F220C7"/>
    <w:rsid w:val="00F23EED"/>
    <w:rsid w:val="00F24481"/>
    <w:rsid w:val="00F26949"/>
    <w:rsid w:val="00F331F1"/>
    <w:rsid w:val="00F34FDC"/>
    <w:rsid w:val="00F37B54"/>
    <w:rsid w:val="00F40E7C"/>
    <w:rsid w:val="00F41DED"/>
    <w:rsid w:val="00F43D79"/>
    <w:rsid w:val="00F5251B"/>
    <w:rsid w:val="00F52B8A"/>
    <w:rsid w:val="00F53D47"/>
    <w:rsid w:val="00F54EC7"/>
    <w:rsid w:val="00F565C5"/>
    <w:rsid w:val="00F60364"/>
    <w:rsid w:val="00F6054A"/>
    <w:rsid w:val="00F60FD1"/>
    <w:rsid w:val="00F613F7"/>
    <w:rsid w:val="00F61CCA"/>
    <w:rsid w:val="00F63325"/>
    <w:rsid w:val="00F64661"/>
    <w:rsid w:val="00F64DE3"/>
    <w:rsid w:val="00F66D6F"/>
    <w:rsid w:val="00F72791"/>
    <w:rsid w:val="00F7330F"/>
    <w:rsid w:val="00F776E4"/>
    <w:rsid w:val="00F82F96"/>
    <w:rsid w:val="00F8426D"/>
    <w:rsid w:val="00F8622A"/>
    <w:rsid w:val="00F91C9C"/>
    <w:rsid w:val="00F93705"/>
    <w:rsid w:val="00F943DF"/>
    <w:rsid w:val="00F96004"/>
    <w:rsid w:val="00F96E7E"/>
    <w:rsid w:val="00F97A3F"/>
    <w:rsid w:val="00F97DBA"/>
    <w:rsid w:val="00FA24F4"/>
    <w:rsid w:val="00FA38B5"/>
    <w:rsid w:val="00FA58B9"/>
    <w:rsid w:val="00FA78AD"/>
    <w:rsid w:val="00FB17D2"/>
    <w:rsid w:val="00FB2B79"/>
    <w:rsid w:val="00FB2C1D"/>
    <w:rsid w:val="00FB3907"/>
    <w:rsid w:val="00FC1D44"/>
    <w:rsid w:val="00FD0ABA"/>
    <w:rsid w:val="00FD6FE9"/>
    <w:rsid w:val="00FD7943"/>
    <w:rsid w:val="00FE06B6"/>
    <w:rsid w:val="00FE1085"/>
    <w:rsid w:val="00FE14D8"/>
    <w:rsid w:val="00FE360C"/>
    <w:rsid w:val="00FE4F3B"/>
    <w:rsid w:val="00FF2AF0"/>
    <w:rsid w:val="00FF4811"/>
    <w:rsid w:val="00FF699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E2ABD18"/>
  <w15:chartTrackingRefBased/>
  <w15:docId w15:val="{A494CDA9-66DC-41B3-9C3F-D6D7587EA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45C48"/>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45C48"/>
    <w:pPr>
      <w:keepNext/>
      <w:keepLines/>
      <w:numPr>
        <w:ilvl w:val="1"/>
        <w:numId w:val="1"/>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A215C"/>
    <w:pPr>
      <w:keepNext/>
      <w:keepLines/>
      <w:numPr>
        <w:ilvl w:val="2"/>
        <w:numId w:val="1"/>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9A215C"/>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9A215C"/>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A215C"/>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9A215C"/>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9A215C"/>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A215C"/>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5C48"/>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45C48"/>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3E4445"/>
    <w:rPr>
      <w:color w:val="0563C1" w:themeColor="hyperlink"/>
      <w:u w:val="single"/>
    </w:rPr>
  </w:style>
  <w:style w:type="character" w:customStyle="1" w:styleId="UnresolvedMention">
    <w:name w:val="Unresolved Mention"/>
    <w:basedOn w:val="DefaultParagraphFont"/>
    <w:uiPriority w:val="99"/>
    <w:semiHidden/>
    <w:unhideWhenUsed/>
    <w:rsid w:val="003E4445"/>
    <w:rPr>
      <w:color w:val="605E5C"/>
      <w:shd w:val="clear" w:color="auto" w:fill="E1DFDD"/>
    </w:rPr>
  </w:style>
  <w:style w:type="character" w:customStyle="1" w:styleId="Heading3Char">
    <w:name w:val="Heading 3 Char"/>
    <w:basedOn w:val="DefaultParagraphFont"/>
    <w:link w:val="Heading3"/>
    <w:uiPriority w:val="9"/>
    <w:rsid w:val="009A215C"/>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9A215C"/>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9A215C"/>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9A215C"/>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9A215C"/>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9A215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A215C"/>
    <w:rPr>
      <w:rFonts w:asciiTheme="majorHAnsi" w:eastAsiaTheme="majorEastAsia" w:hAnsiTheme="majorHAnsi" w:cstheme="majorBidi"/>
      <w:i/>
      <w:iCs/>
      <w:color w:val="272727" w:themeColor="text1" w:themeTint="D8"/>
      <w:sz w:val="21"/>
      <w:szCs w:val="21"/>
    </w:rPr>
  </w:style>
  <w:style w:type="table" w:styleId="TableGrid">
    <w:name w:val="Table Grid"/>
    <w:basedOn w:val="TableNormal"/>
    <w:uiPriority w:val="39"/>
    <w:rsid w:val="00BA64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8qarf">
    <w:name w:val="w8qarf"/>
    <w:basedOn w:val="DefaultParagraphFont"/>
    <w:rsid w:val="00BA6401"/>
  </w:style>
  <w:style w:type="character" w:customStyle="1" w:styleId="lrzxr">
    <w:name w:val="lrzxr"/>
    <w:basedOn w:val="DefaultParagraphFont"/>
    <w:rsid w:val="00BA6401"/>
  </w:style>
  <w:style w:type="paragraph" w:styleId="FootnoteText">
    <w:name w:val="footnote text"/>
    <w:basedOn w:val="Normal"/>
    <w:link w:val="FootnoteTextChar"/>
    <w:uiPriority w:val="99"/>
    <w:semiHidden/>
    <w:unhideWhenUsed/>
    <w:rsid w:val="00BA64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A6401"/>
    <w:rPr>
      <w:sz w:val="20"/>
      <w:szCs w:val="20"/>
    </w:rPr>
  </w:style>
  <w:style w:type="character" w:styleId="FootnoteReference">
    <w:name w:val="footnote reference"/>
    <w:basedOn w:val="DefaultParagraphFont"/>
    <w:uiPriority w:val="99"/>
    <w:semiHidden/>
    <w:unhideWhenUsed/>
    <w:rsid w:val="00BA6401"/>
    <w:rPr>
      <w:vertAlign w:val="superscript"/>
    </w:rPr>
  </w:style>
  <w:style w:type="paragraph" w:styleId="Header">
    <w:name w:val="header"/>
    <w:basedOn w:val="Normal"/>
    <w:link w:val="HeaderChar"/>
    <w:uiPriority w:val="99"/>
    <w:unhideWhenUsed/>
    <w:rsid w:val="004A37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37A1"/>
  </w:style>
  <w:style w:type="paragraph" w:styleId="Footer">
    <w:name w:val="footer"/>
    <w:basedOn w:val="Normal"/>
    <w:link w:val="FooterChar"/>
    <w:uiPriority w:val="99"/>
    <w:unhideWhenUsed/>
    <w:rsid w:val="004A37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37A1"/>
  </w:style>
  <w:style w:type="character" w:styleId="PlaceholderText">
    <w:name w:val="Placeholder Text"/>
    <w:basedOn w:val="DefaultParagraphFont"/>
    <w:uiPriority w:val="99"/>
    <w:semiHidden/>
    <w:rsid w:val="001F6CF5"/>
    <w:rPr>
      <w:color w:val="808080"/>
    </w:rPr>
  </w:style>
  <w:style w:type="paragraph" w:styleId="ListParagraph">
    <w:name w:val="List Paragraph"/>
    <w:basedOn w:val="Normal"/>
    <w:uiPriority w:val="34"/>
    <w:qFormat/>
    <w:rsid w:val="0086006B"/>
    <w:pPr>
      <w:ind w:left="720"/>
      <w:contextualSpacing/>
    </w:pPr>
  </w:style>
  <w:style w:type="table" w:styleId="ListTable6Colorful">
    <w:name w:val="List Table 6 Colorful"/>
    <w:basedOn w:val="TableNormal"/>
    <w:uiPriority w:val="51"/>
    <w:rsid w:val="009C3F4A"/>
    <w:pPr>
      <w:spacing w:after="0" w:line="240" w:lineRule="auto"/>
    </w:pPr>
    <w:rPr>
      <w:rFonts w:ascii="Times New Roman" w:eastAsiaTheme="minorEastAsia" w:hAnsi="Times New Roman" w:cs="Times New Roman"/>
      <w:bCs/>
      <w:color w:val="000000" w:themeColor="text1"/>
      <w:sz w:val="24"/>
      <w:szCs w:val="24"/>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Heading">
    <w:name w:val="TOC Heading"/>
    <w:basedOn w:val="Heading1"/>
    <w:next w:val="Normal"/>
    <w:uiPriority w:val="39"/>
    <w:unhideWhenUsed/>
    <w:qFormat/>
    <w:rsid w:val="009C3F4A"/>
    <w:pPr>
      <w:numPr>
        <w:numId w:val="0"/>
      </w:numPr>
      <w:outlineLvl w:val="9"/>
    </w:pPr>
    <w:rPr>
      <w:lang w:val="en-US"/>
    </w:rPr>
  </w:style>
  <w:style w:type="paragraph" w:styleId="TOC1">
    <w:name w:val="toc 1"/>
    <w:basedOn w:val="Normal"/>
    <w:next w:val="Normal"/>
    <w:autoRedefine/>
    <w:uiPriority w:val="39"/>
    <w:unhideWhenUsed/>
    <w:rsid w:val="003C3FAD"/>
    <w:pPr>
      <w:tabs>
        <w:tab w:val="left" w:pos="440"/>
        <w:tab w:val="right" w:leader="dot" w:pos="8449"/>
      </w:tabs>
      <w:spacing w:after="100" w:line="480" w:lineRule="auto"/>
      <w:jc w:val="both"/>
    </w:pPr>
  </w:style>
  <w:style w:type="paragraph" w:styleId="TOC2">
    <w:name w:val="toc 2"/>
    <w:basedOn w:val="Normal"/>
    <w:next w:val="Normal"/>
    <w:autoRedefine/>
    <w:uiPriority w:val="39"/>
    <w:unhideWhenUsed/>
    <w:rsid w:val="009C3F4A"/>
    <w:pPr>
      <w:spacing w:after="100"/>
      <w:ind w:left="220"/>
    </w:pPr>
  </w:style>
  <w:style w:type="paragraph" w:styleId="TOC3">
    <w:name w:val="toc 3"/>
    <w:basedOn w:val="Normal"/>
    <w:next w:val="Normal"/>
    <w:autoRedefine/>
    <w:uiPriority w:val="39"/>
    <w:unhideWhenUsed/>
    <w:rsid w:val="009C3F4A"/>
    <w:pPr>
      <w:spacing w:after="100"/>
      <w:ind w:left="440"/>
    </w:pPr>
  </w:style>
  <w:style w:type="numbering" w:customStyle="1" w:styleId="NoList1">
    <w:name w:val="No List1"/>
    <w:next w:val="NoList"/>
    <w:uiPriority w:val="99"/>
    <w:semiHidden/>
    <w:unhideWhenUsed/>
    <w:rsid w:val="00385971"/>
  </w:style>
  <w:style w:type="paragraph" w:customStyle="1" w:styleId="citation">
    <w:name w:val="citation"/>
    <w:basedOn w:val="Normal"/>
    <w:rsid w:val="00385971"/>
    <w:pPr>
      <w:spacing w:before="100" w:beforeAutospacing="1" w:after="100" w:afterAutospacing="1" w:line="240" w:lineRule="auto"/>
    </w:pPr>
    <w:rPr>
      <w:rFonts w:ascii="Times New Roman" w:eastAsia="Times New Roman" w:hAnsi="Times New Roman" w:cs="Times New Roman"/>
      <w:sz w:val="24"/>
      <w:szCs w:val="24"/>
      <w:lang w:eastAsia="en-IN"/>
    </w:rPr>
  </w:style>
  <w:style w:type="table" w:customStyle="1" w:styleId="TableGrid1">
    <w:name w:val="Table Grid1"/>
    <w:basedOn w:val="TableNormal"/>
    <w:next w:val="TableGrid"/>
    <w:uiPriority w:val="39"/>
    <w:rsid w:val="00385971"/>
    <w:pPr>
      <w:spacing w:after="0" w:line="240" w:lineRule="auto"/>
    </w:pPr>
    <w:rPr>
      <w:rFonts w:ascii="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F331F1"/>
  </w:style>
  <w:style w:type="character" w:styleId="LineNumber">
    <w:name w:val="line number"/>
    <w:basedOn w:val="DefaultParagraphFont"/>
    <w:uiPriority w:val="99"/>
    <w:semiHidden/>
    <w:unhideWhenUsed/>
    <w:rsid w:val="00F331F1"/>
  </w:style>
  <w:style w:type="table" w:customStyle="1" w:styleId="TableGrid2">
    <w:name w:val="Table Grid2"/>
    <w:basedOn w:val="TableNormal"/>
    <w:next w:val="TableGrid"/>
    <w:uiPriority w:val="39"/>
    <w:rsid w:val="00F331F1"/>
    <w:pPr>
      <w:spacing w:after="0" w:line="240" w:lineRule="auto"/>
    </w:pPr>
    <w:rPr>
      <w:rFonts w:ascii="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6Colorful1">
    <w:name w:val="List Table 6 Colorful1"/>
    <w:basedOn w:val="TableNormal"/>
    <w:next w:val="ListTable6Colorful"/>
    <w:uiPriority w:val="51"/>
    <w:rsid w:val="00F331F1"/>
    <w:pPr>
      <w:spacing w:after="0" w:line="240" w:lineRule="auto"/>
    </w:pPr>
    <w:rPr>
      <w:rFonts w:ascii="Times New Roman" w:hAnsi="Times New Roman" w:cs="Times New Roman"/>
      <w:color w:val="000000" w:themeColor="text1"/>
      <w:sz w:val="24"/>
      <w:szCs w:val="24"/>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Emphasis">
    <w:name w:val="Emphasis"/>
    <w:basedOn w:val="DefaultParagraphFont"/>
    <w:uiPriority w:val="20"/>
    <w:qFormat/>
    <w:rsid w:val="00F331F1"/>
    <w:rPr>
      <w:i/>
      <w:iCs/>
    </w:rPr>
  </w:style>
  <w:style w:type="paragraph" w:styleId="Revision">
    <w:name w:val="Revision"/>
    <w:hidden/>
    <w:uiPriority w:val="99"/>
    <w:semiHidden/>
    <w:rsid w:val="00F331F1"/>
    <w:pPr>
      <w:spacing w:after="0"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F331F1"/>
    <w:rPr>
      <w:sz w:val="16"/>
      <w:szCs w:val="16"/>
    </w:rPr>
  </w:style>
  <w:style w:type="paragraph" w:styleId="CommentText">
    <w:name w:val="annotation text"/>
    <w:basedOn w:val="Normal"/>
    <w:link w:val="CommentTextChar"/>
    <w:uiPriority w:val="99"/>
    <w:unhideWhenUsed/>
    <w:rsid w:val="00F331F1"/>
    <w:pPr>
      <w:spacing w:line="240" w:lineRule="auto"/>
    </w:pPr>
    <w:rPr>
      <w:rFonts w:ascii="Times New Roman" w:hAnsi="Times New Roman" w:cs="Times New Roman"/>
      <w:sz w:val="20"/>
      <w:szCs w:val="20"/>
    </w:rPr>
  </w:style>
  <w:style w:type="character" w:customStyle="1" w:styleId="CommentTextChar">
    <w:name w:val="Comment Text Char"/>
    <w:basedOn w:val="DefaultParagraphFont"/>
    <w:link w:val="CommentText"/>
    <w:uiPriority w:val="99"/>
    <w:rsid w:val="00F331F1"/>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331F1"/>
    <w:rPr>
      <w:b/>
      <w:bCs/>
    </w:rPr>
  </w:style>
  <w:style w:type="character" w:customStyle="1" w:styleId="CommentSubjectChar">
    <w:name w:val="Comment Subject Char"/>
    <w:basedOn w:val="CommentTextChar"/>
    <w:link w:val="CommentSubject"/>
    <w:uiPriority w:val="99"/>
    <w:semiHidden/>
    <w:rsid w:val="00F331F1"/>
    <w:rPr>
      <w:rFonts w:ascii="Times New Roman" w:hAnsi="Times New Roman" w:cs="Times New Roman"/>
      <w:b/>
      <w:bCs/>
      <w:sz w:val="20"/>
      <w:szCs w:val="20"/>
    </w:rPr>
  </w:style>
  <w:style w:type="paragraph" w:styleId="Caption">
    <w:name w:val="caption"/>
    <w:basedOn w:val="Normal"/>
    <w:next w:val="Normal"/>
    <w:uiPriority w:val="35"/>
    <w:unhideWhenUsed/>
    <w:qFormat/>
    <w:rsid w:val="00185F72"/>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FE06B6"/>
    <w:pPr>
      <w:spacing w:after="0"/>
    </w:pPr>
  </w:style>
  <w:style w:type="paragraph" w:customStyle="1" w:styleId="Style1">
    <w:name w:val="Style1"/>
    <w:basedOn w:val="Normal"/>
    <w:link w:val="Style1Char"/>
    <w:qFormat/>
    <w:rsid w:val="003635E4"/>
    <w:pPr>
      <w:spacing w:line="360" w:lineRule="auto"/>
      <w:jc w:val="both"/>
    </w:pPr>
    <w:rPr>
      <w:rFonts w:ascii="Times New Roman" w:hAnsi="Times New Roman" w:cs="Times New Roman"/>
      <w:sz w:val="24"/>
      <w:szCs w:val="24"/>
    </w:rPr>
  </w:style>
  <w:style w:type="character" w:customStyle="1" w:styleId="Style1Char">
    <w:name w:val="Style1 Char"/>
    <w:basedOn w:val="DefaultParagraphFont"/>
    <w:link w:val="Style1"/>
    <w:rsid w:val="003635E4"/>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A447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47F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741682">
      <w:bodyDiv w:val="1"/>
      <w:marLeft w:val="0"/>
      <w:marRight w:val="0"/>
      <w:marTop w:val="0"/>
      <w:marBottom w:val="0"/>
      <w:divBdr>
        <w:top w:val="none" w:sz="0" w:space="0" w:color="auto"/>
        <w:left w:val="none" w:sz="0" w:space="0" w:color="auto"/>
        <w:bottom w:val="none" w:sz="0" w:space="0" w:color="auto"/>
        <w:right w:val="none" w:sz="0" w:space="0" w:color="auto"/>
      </w:divBdr>
    </w:div>
    <w:div w:id="463932091">
      <w:bodyDiv w:val="1"/>
      <w:marLeft w:val="0"/>
      <w:marRight w:val="0"/>
      <w:marTop w:val="0"/>
      <w:marBottom w:val="0"/>
      <w:divBdr>
        <w:top w:val="none" w:sz="0" w:space="0" w:color="auto"/>
        <w:left w:val="none" w:sz="0" w:space="0" w:color="auto"/>
        <w:bottom w:val="none" w:sz="0" w:space="0" w:color="auto"/>
        <w:right w:val="none" w:sz="0" w:space="0" w:color="auto"/>
      </w:divBdr>
    </w:div>
    <w:div w:id="481391801">
      <w:bodyDiv w:val="1"/>
      <w:marLeft w:val="0"/>
      <w:marRight w:val="0"/>
      <w:marTop w:val="0"/>
      <w:marBottom w:val="0"/>
      <w:divBdr>
        <w:top w:val="none" w:sz="0" w:space="0" w:color="auto"/>
        <w:left w:val="none" w:sz="0" w:space="0" w:color="auto"/>
        <w:bottom w:val="none" w:sz="0" w:space="0" w:color="auto"/>
        <w:right w:val="none" w:sz="0" w:space="0" w:color="auto"/>
      </w:divBdr>
    </w:div>
    <w:div w:id="568687553">
      <w:bodyDiv w:val="1"/>
      <w:marLeft w:val="0"/>
      <w:marRight w:val="0"/>
      <w:marTop w:val="0"/>
      <w:marBottom w:val="0"/>
      <w:divBdr>
        <w:top w:val="none" w:sz="0" w:space="0" w:color="auto"/>
        <w:left w:val="none" w:sz="0" w:space="0" w:color="auto"/>
        <w:bottom w:val="none" w:sz="0" w:space="0" w:color="auto"/>
        <w:right w:val="none" w:sz="0" w:space="0" w:color="auto"/>
      </w:divBdr>
    </w:div>
    <w:div w:id="584193830">
      <w:bodyDiv w:val="1"/>
      <w:marLeft w:val="0"/>
      <w:marRight w:val="0"/>
      <w:marTop w:val="0"/>
      <w:marBottom w:val="0"/>
      <w:divBdr>
        <w:top w:val="none" w:sz="0" w:space="0" w:color="auto"/>
        <w:left w:val="none" w:sz="0" w:space="0" w:color="auto"/>
        <w:bottom w:val="none" w:sz="0" w:space="0" w:color="auto"/>
        <w:right w:val="none" w:sz="0" w:space="0" w:color="auto"/>
      </w:divBdr>
      <w:divsChild>
        <w:div w:id="1265378584">
          <w:marLeft w:val="0"/>
          <w:marRight w:val="180"/>
          <w:marTop w:val="45"/>
          <w:marBottom w:val="45"/>
          <w:divBdr>
            <w:top w:val="none" w:sz="0" w:space="0" w:color="auto"/>
            <w:left w:val="none" w:sz="0" w:space="0" w:color="auto"/>
            <w:bottom w:val="none" w:sz="0" w:space="0" w:color="auto"/>
            <w:right w:val="none" w:sz="0" w:space="0" w:color="auto"/>
          </w:divBdr>
        </w:div>
      </w:divsChild>
    </w:div>
    <w:div w:id="1152795042">
      <w:bodyDiv w:val="1"/>
      <w:marLeft w:val="0"/>
      <w:marRight w:val="0"/>
      <w:marTop w:val="0"/>
      <w:marBottom w:val="0"/>
      <w:divBdr>
        <w:top w:val="none" w:sz="0" w:space="0" w:color="auto"/>
        <w:left w:val="none" w:sz="0" w:space="0" w:color="auto"/>
        <w:bottom w:val="none" w:sz="0" w:space="0" w:color="auto"/>
        <w:right w:val="none" w:sz="0" w:space="0" w:color="auto"/>
      </w:divBdr>
    </w:div>
    <w:div w:id="1747146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31.tiff"/><Relationship Id="rId21" Type="http://schemas.openxmlformats.org/officeDocument/2006/relationships/image" Target="media/image13.tiff"/><Relationship Id="rId34" Type="http://schemas.openxmlformats.org/officeDocument/2006/relationships/image" Target="media/image26.tiff"/><Relationship Id="rId42" Type="http://schemas.openxmlformats.org/officeDocument/2006/relationships/image" Target="media/image34.png"/><Relationship Id="rId47" Type="http://schemas.microsoft.com/office/2018/08/relationships/commentsExtensible" Target="commentsExtensi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tiff"/><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tiff"/><Relationship Id="rId40" Type="http://schemas.openxmlformats.org/officeDocument/2006/relationships/image" Target="media/image32.tif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tiff"/><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emf"/><Relationship Id="rId35" Type="http://schemas.openxmlformats.org/officeDocument/2006/relationships/image" Target="media/image27.tiff"/><Relationship Id="rId43" Type="http://schemas.openxmlformats.org/officeDocument/2006/relationships/image" Target="media/image35.png"/><Relationship Id="rId48" Type="http://schemas.microsoft.com/office/2016/09/relationships/commentsIds" Target="commentsIds.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tiff"/><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theme" Target="theme/theme1.xml"/><Relationship Id="rId20" Type="http://schemas.openxmlformats.org/officeDocument/2006/relationships/image" Target="media/image12.jpeg"/><Relationship Id="rId4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85D938-E5A4-44A5-9D09-BC4464A48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135</Pages>
  <Words>44960</Words>
  <Characters>256274</Characters>
  <Application>Microsoft Office Word</Application>
  <DocSecurity>0</DocSecurity>
  <Lines>2135</Lines>
  <Paragraphs>601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Pallavi Jangra</dc:creator>
  <cp:keywords/>
  <dc:description/>
  <cp:lastModifiedBy>HP</cp:lastModifiedBy>
  <cp:revision>39</cp:revision>
  <cp:lastPrinted>2023-11-27T08:04:00Z</cp:lastPrinted>
  <dcterms:created xsi:type="dcterms:W3CDTF">2023-10-15T07:51:00Z</dcterms:created>
  <dcterms:modified xsi:type="dcterms:W3CDTF">2023-11-27T08:05:00Z</dcterms:modified>
</cp:coreProperties>
</file>